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§6.2.</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4"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two channels that escape a pure PV-at-portfolio-rate framing.</w:t>
      </w:r>
    </w:p>
    <w:bookmarkStart w:id="32" w:name="tax-drag-differential"/>
    <w:p>
      <w:pPr>
        <w:pStyle w:val="Heading3"/>
      </w:pPr>
      <w:r>
        <w:t xml:space="preserve">6.1 Tax-Drag Differential</w:t>
      </w:r>
    </w:p>
    <w:p>
      <w:pPr>
        <w:pStyle w:val="FirstParagraph"/>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bookmarkEnd w:id="32"/>
    <w:bookmarkStart w:id="33" w:name="discount-rate-mismatch"/>
    <w:p>
      <w:pPr>
        <w:pStyle w:val="Heading3"/>
      </w:pPr>
      <w:r>
        <w:t xml:space="preserve">6.2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the §6.1 drag-avoidance alpha.</w:t>
      </w:r>
    </w:p>
    <w:p>
      <w:r>
        <w:pict>
          <v:rect style="width:0;height:1.5pt" o:hralign="center" o:hrstd="t" o:hr="t"/>
        </w:pict>
      </w:r>
    </w:p>
    <w:bookmarkEnd w:id="33"/>
    <w:bookmarkEnd w:id="34"/>
    <w:bookmarkStart w:id="35"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5"/>
    <w:bookmarkStart w:id="36"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and (b)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6"/>
    <w:bookmarkStart w:id="37"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7"/>
    <w:bookmarkStart w:id="40" w:name="X1fb9906062232a1c9ed64da0711341d859c89e8"/>
    <w:p>
      <w:pPr>
        <w:pStyle w:val="Heading2"/>
      </w:pPr>
      <w:r>
        <w:t xml:space="preserve">Appendix A: Selected Values from All Four Scenarios</w:t>
      </w:r>
    </w:p>
    <w:bookmarkStart w:id="38"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8"/>
    <w:bookmarkStart w:id="39"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2026-05-15T10:28:24Z</dcterms:created>
  <dcterms:modified xsi:type="dcterms:W3CDTF">2026-05-15T10:28:24Z</dcterms:modified>
</cp:coreProperties>
</file>

<file path=docProps/custom.xml><?xml version="1.0" encoding="utf-8"?>
<Properties xmlns="http://schemas.openxmlformats.org/officeDocument/2006/custom-properties" xmlns:vt="http://schemas.openxmlformats.org/officeDocument/2006/docPropsVTypes"/>
</file>