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2026-05-18</w:t>
      </w:r>
    </w:p>
    <w:p>
      <w:r>
        <w:pict>
          <v:rect style="width:0;height:1.5pt" o:hralign="center" o:hrstd="t" o:hr="t"/>
        </w:pict>
      </w:r>
    </w:p>
    <w:bookmarkStart w:id="9" w:name="abstract"/>
    <w:p>
      <w:pPr>
        <w:pStyle w:val="Heading2"/>
      </w:pPr>
      <w:r>
        <w:t xml:space="preserve">Abstract</w:t>
      </w:r>
    </w:p>
    <w:p>
      <w:pPr>
        <w:pStyle w:val="FirstParagraph"/>
      </w:pPr>
      <w:r>
        <w:t xml:space="preserve">Traditional accounting of Roth conversion value focuses on the arbitrage between the conversion-year tax rate</w:t>
      </w:r>
      <w:r>
        <w:t xml:space="preserve"> </w:t>
      </w:r>
      <m:oMath>
        <m:sSub>
          <m:e>
            <m:r>
              <m:t>t</m:t>
            </m:r>
          </m:e>
          <m:sub>
            <m:r>
              <m:t>C</m:t>
            </m:r>
          </m:sub>
        </m:sSub>
      </m:oMath>
      <w:r>
        <w:t xml:space="preserve"> </w:t>
      </w:r>
      <w:r>
        <w:t xml:space="preserve">and the time-weighted distribution tax rate</w:t>
      </w:r>
      <w:r>
        <w:t xml:space="preserve"> </w:t>
      </w:r>
      <m:oMath>
        <m:sSub>
          <m:e>
            <m:r>
              <m:t>t</m:t>
            </m:r>
          </m:e>
          <m:sub>
            <m:r>
              <m:t>D</m:t>
            </m:r>
          </m:sub>
        </m:sSub>
      </m:oMath>
      <w:r>
        <w:t xml:space="preserve">. This framing is incomplete. When the conversion tax is paid from outside the retirement account, after-tax dollars equal to the conversion tax migrate from a taxable wrapper into a tax-free wrapper, where they grow tax-free for the life of the account, including any beneficiary period. We name this effect the</w:t>
      </w:r>
      <w:r>
        <w:t xml:space="preserve"> </w:t>
      </w:r>
      <w:r>
        <w:rPr>
          <w:b/>
          <w:bCs/>
        </w:rPr>
        <w:t xml:space="preserve">Synthetic Roth Contribution</w:t>
      </w:r>
      <w:r>
        <w:t xml:space="preserve"> </w:t>
      </w:r>
      <w:r>
        <w:t xml:space="preserve">(SRC). Cheshire (2025, SSRN 5205840) introduced the concept, decomposing conversion-tax payback into SRC plus tax-rate-arbitrage components. Additional SRC alpha lies in tax-drag avoidance. We now formalize the SRC as a separable component with its own PV / FV / IRR identity, distinct from the rate-arbitrage Core.</w:t>
      </w:r>
    </w:p>
    <w:p>
      <w:pPr>
        <w:pStyle w:val="BodyText"/>
      </w:pPr>
      <w:r>
        <w:t xml:space="preserve">We prove the SRC’s existence four independent ways: (1) algebraically, via the annuity-payment / present-value identity, showing</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(2) empirically under Fixed Annuity distributions, where the Outside − Inside per-year ATCF increment is $1,695.86 in all 20 distribution years, matching the prediction to the cent; (3) empirically under RMD distributions, where varying per-year PV increments sum to within 4 cents of the SRC amount over the 30-year horizon; and (4) by decomposition, showing that the Outside/Inside end-of-life wealth difference is the SRC value.</w:t>
      </w:r>
    </w:p>
    <w:p>
      <w:pPr>
        <w:pStyle w:val="BodyText"/>
      </w:pPr>
      <w:r>
        <w:t xml:space="preserve">These results extend Reichenstein &amp; Meyer (2017), McQuarrie &amp; DiLellio (2023), Vanguard’s 2025 BETR, and Nalebuff/Haghani/White (2025) by adding a separable per-year decomposition with a closed-form identity, and reconcile McQuarrie (2024)’s</w:t>
      </w:r>
      <w:r>
        <w:t xml:space="preserve"> </w:t>
      </w:r>
      <w:r>
        <w:t xml:space="preserve">“live past 97 to break even”</w:t>
      </w:r>
      <w:r>
        <w:t xml:space="preserve"> </w:t>
      </w:r>
      <w:r>
        <w:t xml:space="preserve">conclusion by incorporating the post-conversion Roth balance into the NPV accounting.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When a Roth conversion’s tax bill is paid from outside the retirement account, after-tax dollars equal to that tax migrate from a taxable wrapper into a tax-free one, where they compound untaxed for the life of the account and any beneficiary period. We call this transfer the</w:t>
      </w:r>
      <w:r>
        <w:t xml:space="preserve"> </w:t>
      </w:r>
      <w:r>
        <w:rPr>
          <w:b/>
          <w:bCs/>
        </w:rPr>
        <w:t xml:space="preserve">Synthetic Roth Contribution</w:t>
      </w:r>
      <w:r>
        <w:t xml:space="preserve"> </w:t>
      </w:r>
      <w:r>
        <w:t xml:space="preserve">(SRC). Pay the same tax from inside the account and no such migration occurs — the Roth holds only the converted balance net of tax. The two funding paths produce materially different end-of-life wealth, and the gap is not the spread arbitrage. It is the SRC.</w:t>
      </w:r>
    </w:p>
    <w:p>
      <w:pPr>
        <w:pStyle w:val="BodyText"/>
      </w:pPr>
      <w:r>
        <w:t xml:space="preserve">The Roth-conversion literature frames value almost exclusively through the spread arbitrage between the conversion-year rate</w:t>
      </w:r>
      <w:r>
        <w:t xml:space="preserve"> </w:t>
      </w:r>
      <m:oMath>
        <m:sSub>
          <m:e>
            <m:r>
              <m:t>t</m:t>
            </m:r>
          </m:e>
          <m:sub>
            <m:r>
              <m:t>C</m:t>
            </m:r>
          </m:sub>
        </m:sSub>
      </m:oMath>
      <w:r>
        <w:t xml:space="preserve"> </w:t>
      </w:r>
      <w:r>
        <w:t xml:space="preserve">and the time-weighted distribution rate</w:t>
      </w:r>
      <w:r>
        <w:t xml:space="preserve"> </w:t>
      </w:r>
      <m:oMath>
        <m:sSub>
          <m:e>
            <m:r>
              <m:t>t</m:t>
            </m:r>
          </m:e>
          <m:sub>
            <m:r>
              <m:t>D</m:t>
            </m:r>
          </m:sub>
        </m:sSub>
      </m:oMath>
      <w:r>
        <w:t xml:space="preserve">. Funding source is sometimes acknowledged as</w:t>
      </w:r>
      <w:r>
        <w:t xml:space="preserve"> </w:t>
      </w:r>
      <w:r>
        <w:t xml:space="preserve">“helpful”</w:t>
      </w:r>
      <w:r>
        <w:t xml:space="preserve"> </w:t>
      </w:r>
      <w:r>
        <w:t xml:space="preserve">when paid from outside, but has not been formalized as a separable economic component with its own per-year cash flow, PV, FV, and IRR identity — distinct from, and additive to, the rate-arbitrage Core. That is the gap this paper closes.</w:t>
      </w:r>
    </w:p>
    <w:p>
      <w:pPr>
        <w:pStyle w:val="BodyText"/>
      </w:pPr>
      <w:r>
        <w:t xml:space="preserve">Cheshire (2025, SSRN 5205840) introduced the SRC framework; §1B summarizes. This paper extends with formal algebraic and empirical proofs, generalizes to RMD-method distributions, and engages directly with the closest related literature.</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PV / FV / IRR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express the value of paying conversion tax from outside funds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 where</w:t>
      </w:r>
      <w:r>
        <w:t xml:space="preserve"> </w:t>
      </w:r>
      <m:oMath>
        <m:r>
          <m:t>t</m:t>
        </m:r>
        <m:r>
          <m:t>V</m:t>
        </m:r>
      </m:oMath>
      <w:r>
        <w:t xml:space="preserve"> </w:t>
      </w:r>
      <w:r>
        <w:t xml:space="preserve">= conversion tax (</w:t>
      </w:r>
      <m:oMath>
        <m:r>
          <m:t>K</m:t>
        </m:r>
      </m:oMath>
      <w:r>
        <w:t xml:space="preserve">),</w:t>
      </w:r>
      <w:r>
        <w:t xml:space="preserve"> </w:t>
      </w:r>
      <m:oMath>
        <m:r>
          <m:t>r</m:t>
        </m:r>
      </m:oMath>
      <w:r>
        <w:t xml:space="preserve"> </w:t>
      </w:r>
      <w:r>
        <w:t xml:space="preserve">= tax-free Roth return,</w:t>
      </w:r>
      <w:r>
        <w:t xml:space="preserve"> </w:t>
      </w:r>
      <m:oMath>
        <m:r>
          <m:t>R</m:t>
        </m:r>
      </m:oMath>
      <w:r>
        <w:t xml:space="preserve"> </w:t>
      </w:r>
      <w:r>
        <w:t xml:space="preserve">= after-tax bank return,</w:t>
      </w:r>
      <w:r>
        <w:t xml:space="preserve"> </w:t>
      </w:r>
      <m:oMath>
        <m:r>
          <m:t>n</m:t>
        </m:r>
      </m:oMath>
      <w:r>
        <w:t xml:space="preserve"> </w:t>
      </w:r>
      <w:r>
        <w:t xml:space="preserve">= horizon. They observe:</w:t>
      </w:r>
      <w:r>
        <w:t xml:space="preserve"> </w:t>
      </w:r>
      <w:r>
        <w:rPr>
          <w:i/>
          <w:iCs/>
        </w:rPr>
        <w:t xml:space="preserve">“Strategy 3 has tV more dollars growing at the pre-tax return of r in the Roth IRA.”</w:t>
      </w:r>
    </w:p>
    <w:p>
      <w:pPr>
        <w:pStyle w:val="BodyText"/>
      </w:pPr>
      <w:r>
        <w:t xml:space="preserve">That observation</w:t>
      </w:r>
      <w:r>
        <w:t xml:space="preserve"> </w:t>
      </w:r>
      <w:r>
        <w:rPr>
          <w:i/>
          <w:iCs/>
        </w:rPr>
        <w:t xml:space="preserve">is</w:t>
      </w:r>
      <w:r>
        <w:t xml:space="preserve"> </w:t>
      </w:r>
      <w:r>
        <w:t xml:space="preserve">the SRC mechanism. The term</w:t>
      </w:r>
      <w:r>
        <w:t xml:space="preserve"> </w:t>
      </w:r>
      <m:oMath>
        <m:r>
          <m:t>t</m:t>
        </m:r>
        <m:r>
          <m:t>V</m:t>
        </m:r>
        <m:r>
          <m:rPr>
            <m:sty m:val="p"/>
          </m:rPr>
          <m:t>(</m:t>
        </m:r>
        <m:r>
          <m:t>1</m:t>
        </m:r>
        <m:r>
          <m:rPr>
            <m:sty m:val="p"/>
          </m:rPr>
          <m:t>+</m:t>
        </m:r>
        <m:r>
          <m:t>r</m:t>
        </m:r>
        <m:sSup>
          <m:e>
            <m:r>
              <m:rPr>
                <m:sty m:val="p"/>
              </m:rPr>
              <m:t>)</m:t>
            </m:r>
          </m:e>
          <m:sup>
            <m:r>
              <m:t>n</m:t>
            </m:r>
          </m:sup>
        </m:sSup>
      </m:oMath>
      <w:r>
        <w:t xml:space="preserve"> </w:t>
      </w:r>
      <w:r>
        <w:t xml:space="preserve">is the migrated tax dollars compounding tax-free in the Roth — the dominant component of outside-funded conversion value, PV =</w:t>
      </w:r>
      <w:r>
        <w:t xml:space="preserve"> </w:t>
      </w:r>
      <m:oMath>
        <m:r>
          <m:t>K</m:t>
        </m:r>
      </m:oMath>
      <w:r>
        <w:t xml:space="preserve"> </w:t>
      </w:r>
      <w:r>
        <w:t xml:space="preserve">at the portfolio rate (§4). But the framework immediately nets it against the bank’s forgone growth</w:t>
      </w:r>
      <w:r>
        <w:t xml:space="preserve"> </w:t>
      </w:r>
      <m:oMath>
        <m:r>
          <m:t>t</m:t>
        </m:r>
        <m:r>
          <m:t>V</m:t>
        </m:r>
        <m:r>
          <m:rPr>
            <m:sty m:val="p"/>
          </m:rPr>
          <m:t>(</m:t>
        </m:r>
        <m:r>
          <m:t>1</m:t>
        </m:r>
        <m:r>
          <m:rPr>
            <m:sty m:val="p"/>
          </m:rPr>
          <m:t>+</m:t>
        </m:r>
        <m:r>
          <m:t>R</m:t>
        </m:r>
        <m:sSup>
          <m:e>
            <m:r>
              <m:rPr>
                <m:sty m:val="p"/>
              </m:rPr>
              <m:t>)</m:t>
            </m:r>
          </m:e>
          <m:sup>
            <m:r>
              <m:t>n</m:t>
            </m:r>
          </m:sup>
        </m:sSup>
      </m:oMath>
      <w:r>
        <w:t xml:space="preserve">, leaving only the much smaller tax-drag residual; at</w:t>
      </w:r>
      <w:r>
        <w:t xml:space="preserve"> </w:t>
      </w:r>
      <m:oMath>
        <m:r>
          <m:t>R</m:t>
        </m:r>
        <m:r>
          <m:rPr>
            <m:sty m:val="p"/>
          </m:rPr>
          <m:t>=</m:t>
        </m:r>
        <m:r>
          <m:t>r</m:t>
        </m:r>
      </m:oMath>
      <w:r>
        <w:t xml:space="preserve"> </w:t>
      </w:r>
      <w:r>
        <w:t xml:space="preserve">the expression collapses to zero with no Outside benefit. Reichenstein &amp; Meyer report the residual — the tax-drag alpha — without recognizing the wrapper migration as a separable Roth-equivalent contribution.</w:t>
      </w:r>
    </w:p>
    <w:p>
      <w:pPr>
        <w:pStyle w:val="BodyText"/>
      </w:pPr>
      <w:r>
        <w:t xml:space="preserve">Their drag-differential expression is real and prior — not a decomposition of outside-funded conversion value, but a tax-drag alpha calculation that assumes</w:t>
      </w:r>
      <w:r>
        <w:t xml:space="preserve"> </w:t>
      </w:r>
      <m:oMath>
        <m:r>
          <m:t>r</m:t>
        </m:r>
        <m:r>
          <m:rPr>
            <m:sty m:val="p"/>
          </m:rPr>
          <m:t>&gt;</m:t>
        </m:r>
        <m:r>
          <m:t>R</m:t>
        </m:r>
      </m:oMath>
      <w:r>
        <w:t xml:space="preserve">. The SRC framework treats it as a special case of the §6 tax-drag-avoidance alpha.</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recognize the migrated tax dollars as</w:t>
      </w:r>
      <w:r>
        <w:t xml:space="preserve"> </w:t>
      </w:r>
      <w:r>
        <w:rPr>
          <w:i/>
          <w:iCs/>
        </w:rPr>
        <w:t xml:space="preserve">“the invisible, but very real, future value of the [tax] sent to the IRS,”</w:t>
      </w:r>
      <w:r>
        <w:t xml:space="preserve"> </w:t>
      </w:r>
      <w:r>
        <w:t xml:space="preserve">then subtract that grown value from the Outside Roth as a forgone cost. Year 3: $100K × 1.10³ − $25K × 1.085³ = $133,100 − $31,932 = $101,168 vs Inside’s $99,825 → $1,343 wedge (extends to $40,386 at year 20). The wedge is the tax-drag alpha. Economically, the tax payment sits in the Roth growing tax-free; M&amp;D’s math shows it only as a subtracted cost.</w:t>
      </w:r>
    </w:p>
    <w:p>
      <w:pPr>
        <w:pStyle w:val="BodyText"/>
      </w:pPr>
      <w:r>
        <w:rPr>
          <w:b/>
          <w:bCs/>
        </w:rPr>
        <w:t xml:space="preserve">Passman, Wong, &amp; Dickson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(July 2025) — come closest to recognizing the SRC when they observe that</w:t>
      </w:r>
      <w:r>
        <w:t xml:space="preserve"> </w:t>
      </w:r>
      <w:r>
        <w:rPr>
          <w:i/>
          <w:iCs/>
        </w:rPr>
        <w:t xml:space="preserve">“paying conversion taxes from a taxable account lets investors move some of their savings (the amount of the conversion taxes) from a taxable account to a Roth account.”</w:t>
      </w:r>
      <w:r>
        <w:t xml:space="preserve"> </w:t>
      </w:r>
      <w:r>
        <w:t xml:space="preserve">Yet they omit conversion tax from the Roth side of the convert/no-convert analysis. To make the math work, they also omit counterfactual bank cash. Jill case ($100K conversion, 35% current/24% future rate, $35K tax, Roth multiple 3, taxable multiple 2). Two framings — labeled by what each treats the SRC as — yield the same BETR:</w:t>
      </w:r>
    </w:p>
    <w:p>
      <w:pPr>
        <w:pStyle w:val="SourceCode"/>
      </w:pPr>
      <w:r>
        <w:rPr>
          <w:rStyle w:val="VerbatimChar"/>
        </w:rPr>
        <w:t xml:space="preserve">SRC as Cost (Vanguard): $230K = $300K × (1 − BETR) → 23.3%</w:t>
      </w:r>
      <w:r>
        <w:br/>
      </w:r>
      <w:r>
        <w:rPr>
          <w:rStyle w:val="VerbatimChar"/>
        </w:rPr>
        <w:t xml:space="preserve">SRC (alternative):      $300K = $300K × (1 − BETR) + $70K → 23.3%</w:t>
      </w:r>
    </w:p>
    <w:p>
      <w:pPr>
        <w:pStyle w:val="FirstParagraph"/>
      </w:pPr>
      <w:r>
        <w:t xml:space="preserve">Conversion is recommended since 24% &gt; 23.3%, despite an immediate $11,000 loss of wealth (= $100K × (35% − 24%)).</w:t>
      </w:r>
    </w:p>
    <w:p>
      <w:pPr>
        <w:pStyle w:val="BodyText"/>
      </w:pPr>
      <w:r>
        <w:t xml:space="preserve">Does Jill understand that her advisor’s assumed taxable multiple of 2 (vs Roth’s 3) implies a 37.5% annual tax rate on investment returns (§6) — implausibly high for most investors?</w:t>
      </w:r>
    </w:p>
    <w:p>
      <w:pPr>
        <w:pStyle w:val="BodyText"/>
      </w:pPr>
      <w:r>
        <w:t xml:space="preserve">Vanguard frames the tax payment as a cost rather than a migrated asset.</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 is a practitioner article on wrapper migration.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states (without derivation)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substantively aligns with the SRC concept, but the formula collapses ordinary-income and capital-gains rates into one term and gives a single FV result rather than a year-by-year cash-flow stream with its own IRR and PV identity. The article cites no prior work on the topic. Post-dates Cheshire (2025); cited as parallel evidence the concept is being independently surfaced.</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Wrapper migration at the heart of Outside-funded conversions is not separately tracked in McQuarrie’s NPV accounting: $22,000 of after-tax dollars moves from a taxable into a tax-free wrapper, compounding tax-free for the life of the account. That migration is the Synthetic Roth Contribution.</w:t>
      </w:r>
    </w:p>
    <w:p>
      <w:pPr>
        <w:pStyle w:val="BodyText"/>
      </w:pPr>
      <w:r>
        <w:t xml:space="preserve">McQuarrie’s framework offsets the tax payment against future RMD tax savings, discounted at the portfolio rate. In his 22% → 25% base case on $100K,</w:t>
      </w:r>
      <w:r>
        <w:t xml:space="preserve"> </w:t>
      </w:r>
      <w:r>
        <w:rPr>
          <w:i/>
          <w:iCs/>
        </w:rPr>
        <w:t xml:space="preserve">“$7,000 remains to be defrayed”</w:t>
      </w:r>
      <w:r>
        <w:t xml:space="preserve"> </w:t>
      </w:r>
      <w:r>
        <w:t xml:space="preserve">at life expectancy and</w:t>
      </w:r>
      <w:r>
        <w:t xml:space="preserve"> </w:t>
      </w:r>
      <w:r>
        <w:rPr>
          <w:i/>
          <w:iCs/>
        </w:rPr>
        <w:t xml:space="preserve">“$22,000 is totally cashed out”</w:t>
      </w:r>
      <w:r>
        <w:t xml:space="preserve"> </w:t>
      </w:r>
      <w:r>
        <w:t xml:space="preserve">at age 97. He concludes the $22K was</w:t>
      </w:r>
      <w:r>
        <w:t xml:space="preserve"> </w:t>
      </w:r>
      <w:r>
        <w:rPr>
          <w:i/>
          <w:iCs/>
        </w:rPr>
        <w:t xml:space="preserve">“in all but name, a loan to the government”</w:t>
      </w:r>
      <w:r>
        <w:t xml:space="preserve"> </w:t>
      </w:r>
      <w:r>
        <w:t xml:space="preserve">and that paying conversion tax from outside funds is</w:t>
      </w:r>
      <w:r>
        <w:t xml:space="preserve"> </w:t>
      </w:r>
      <w:r>
        <w:rPr>
          <w:i/>
          <w:iCs/>
        </w:rPr>
        <w:t xml:space="preserve">“not all that helpful.”</w:t>
      </w:r>
    </w:p>
    <w:p>
      <w:pPr>
        <w:pStyle w:val="BodyText"/>
      </w:pPr>
      <w:r>
        <w:t xml:space="preserve">Two considerations arise.</w:t>
      </w:r>
    </w:p>
    <w:p>
      <w:pPr>
        <w:pStyle w:val="BodyText"/>
      </w:pPr>
      <w:r>
        <w:rPr>
          <w:i/>
          <w:iCs/>
        </w:rPr>
        <w:t xml:space="preserve">First</w:t>
      </w:r>
      <w:r>
        <w:t xml:space="preserve">, the loan analogy is backwards. The IRS effectively lends the deferred tax to the investor — interest-free, for potentially decades. Under Inside funding, the IRS gets the same $22K back with no out-of-pocket cash, confirming there was never a taxpayer loan. Settling a $25K liability today repays the IRS loan while booking a $3K profit — helpful and prudent.</w:t>
      </w:r>
    </w:p>
    <w:p>
      <w:pPr>
        <w:pStyle w:val="BodyText"/>
      </w:pPr>
      <w:r>
        <w:rPr>
          <w:i/>
          <w:iCs/>
        </w:rPr>
        <w:t xml:space="preserve">Second</w:t>
      </w:r>
      <w:r>
        <w:t xml:space="preserve">, McQuarrie’s framework misses the wrapper composition. The RMD-savings stream is identical under Inside funding — his framework does not distinguish the two funding paths. The</w:t>
      </w:r>
      <w:r>
        <w:t xml:space="preserve"> </w:t>
      </w:r>
      <w:r>
        <w:rPr>
          <w:i/>
          <w:iCs/>
        </w:rPr>
        <w:t xml:space="preserve">“$22,000 paid out of pocket up front”</w:t>
      </w:r>
      <w:r>
        <w:t xml:space="preserve"> </w:t>
      </w:r>
      <w:r>
        <w:t xml:space="preserve">he calls a loan actually sits in the Roth. The NPV = 0 result obscures this wrapper migration.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w:t>
            </w:r>
          </w:p>
        </w:tc>
      </w:tr>
      <w:tr>
        <w:tc>
          <w:tcPr/>
          <w:p>
            <w:pPr>
              <w:pStyle w:val="Compact"/>
            </w:pPr>
            <w:r>
              <w:rPr>
                <w:b/>
                <w:bCs/>
              </w:rPr>
              <w:t xml:space="preserve">Pre-conversion</w:t>
            </w:r>
          </w:p>
        </w:tc>
        <w:tc>
          <w:tcPr/>
          <w:p>
            <w:pPr>
              <w:pStyle w:val="Compact"/>
            </w:pPr>
            <w:r>
              <w:t xml:space="preserve">$100K ($75K AT)</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Outside and Inside create identical wealth but Outside puts $22K more in the Roth wrapper. McQuarrie’s analysis runs off the $100K Traditional balance and does not track the post-conversion Roth separately, so this $22K cannot appear in his calculation. The matched-rate PV identity of §4 explains why his discounted RMD savings come up exactly $22K short: Table 1 Column 8 — tax-at-22% on each RMD, discounted at his 6% portfolio rate — sums to $22K, equal to the tax payment. McQuarrie published the column and computed Col 7 − Col 8 (the $3K Core), treating the $22K as a cost. Col 9 itself encodes the decomposition: −$22K (SRC) at start, +$3K (Core) at end — separated by $25K = PV(Col 7). The matching $22K asset — sitting in the Roth — remains outside the calculation.</w:t>
      </w:r>
    </w:p>
    <w:p>
      <w:pPr>
        <w:pStyle w:val="BodyText"/>
      </w:pPr>
      <w:r>
        <w:t xml:space="preserve">Further considerations.</w:t>
      </w:r>
    </w:p>
    <w:p>
      <w:pPr>
        <w:pStyle w:val="BodyText"/>
      </w:pPr>
      <w:r>
        <w:rPr>
          <w:i/>
          <w:iCs/>
        </w:rPr>
        <w:t xml:space="preserve">First</w:t>
      </w:r>
      <w:r>
        <w:t xml:space="preserve">, conversion NPV is a positive or negative number, locked in at year 0. McQuarrie’s Col 9, labeled</w:t>
      </w:r>
      <w:r>
        <w:t xml:space="preserve"> </w:t>
      </w:r>
      <w:r>
        <w:t xml:space="preserve">“NPV-to-This-Point,”</w:t>
      </w:r>
      <w:r>
        <w:t xml:space="preserve"> </w:t>
      </w:r>
      <w:r>
        <w:t xml:space="preserve">runs from −$22K at year 0 to +$3K at distribution end — as if NPV accrues over time. But NPV is a year-0 scalar by definition; the decision was settled at conversion. Time only unfolds the consequences.</w:t>
      </w:r>
    </w:p>
    <w:p>
      <w:pPr>
        <w:pStyle w:val="BodyText"/>
      </w:pPr>
      <w:r>
        <w:rPr>
          <w:i/>
          <w:iCs/>
        </w:rPr>
        <w:t xml:space="preserve">Second</w:t>
      </w:r>
      <w:r>
        <w:t xml:space="preserve">, the</w:t>
      </w:r>
      <w:r>
        <w:t xml:space="preserve"> </w:t>
      </w:r>
      <w:r>
        <w:t xml:space="preserve">“not all that helpful”</w:t>
      </w:r>
      <w:r>
        <w:t xml:space="preserve"> </w:t>
      </w:r>
      <w:r>
        <w:t xml:space="preserve">conclusion is antithetical to the widely accepted desirability of moving dollars into a tax-free wrapper. The benefit holds even absent any rate-spread profit — applying equally to statutory Roth contributions and the Synthetic Roth Contribution.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PV / FV / IRR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pattern in §3.3 and §3.4 generalizes:</w:t>
      </w:r>
    </w:p>
    <w:p>
      <w:pPr>
        <w:pStyle w:val="BodyText"/>
      </w:pPr>
      <w:r>
        <w:rPr>
          <w:b/>
          <w:bCs/>
        </w:rPr>
        <w:t xml:space="preserve">Wrapper Migration Neutrality</w:t>
      </w:r>
      <w:r>
        <w:t xml:space="preserve">: any transaction altering tax-wrapper composition without changing contemporaneous after-tax wealth imposes no cost — it is reallocation, not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identical at the migration moment: after-tax wealth conserved, only wrapper composition changes. Future value emerges through the source/destination drag differential, but migration itself imposes no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p>
      <w:pPr>
        <w:pStyle w:val="BodyText"/>
      </w:pPr>
      <w:r>
        <w:rPr>
          <w:b/>
          <w:bCs/>
        </w:rPr>
        <w:t xml:space="preserve">Distribution convention.</w:t>
      </w:r>
      <w:r>
        <w:t xml:space="preserve"> </w:t>
      </w:r>
      <w:r>
        <w:t xml:space="preserve">Both Traditional and Roth balances are level-distributed via the annuity-payment formula over the 20-year horizon. Roth accounts (IRAs and 401(k)s) have no IRS RMDs during owner’s lifetime; modeled identically here for Outside-vs-Inside comparability.</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for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p>
      <w:pPr>
        <w:pStyle w:val="BodyText"/>
      </w:pPr>
      <w:r>
        <w:rPr>
          <w:b/>
          <w:bCs/>
        </w:rPr>
        <w:t xml:space="preserve">Distribution convention</w:t>
      </w:r>
      <w:r>
        <w:t xml:space="preserve"> </w:t>
      </w:r>
      <w:r>
        <w:t xml:space="preserve">(extends §5): for Outside-vs-Inside comparability, under RMD Inside and Outside follow IRS Uniform Lifetime Table divisors during owner period (ages 73–92) and level distributions during SECURE Act’s 10-year beneficiary period (93–102).</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materially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pPr>
        <w:pStyle w:val="BodyText"/>
      </w:pPr>
      <w:r>
        <w:rPr>
          <w:b/>
          <w:bCs/>
        </w:rPr>
        <w:t xml:space="preserve">Mapping to Vanguard’s BETR.</w:t>
      </w:r>
      <w:r>
        <w:t xml:space="preserve"> </w:t>
      </w:r>
      <w:r>
        <w:t xml:space="preserve">Passman, Wong &amp; Dickson (2025) parameterize our same wrapper-drag wedge via a 20-year cumulative outside-account multiple</w:t>
      </w:r>
      <w:r>
        <w:t xml:space="preserve"> </w:t>
      </w:r>
      <m:oMath>
        <m:sSup>
          <m:e>
            <m:r>
              <m:t>M</m:t>
            </m:r>
          </m:e>
          <m:sup>
            <m:r>
              <m:rPr>
                <m:sty m:val="p"/>
              </m:rPr>
              <m:t>′</m:t>
            </m:r>
          </m:sup>
        </m:sSup>
      </m:oMath>
      <w:r>
        <w:t xml:space="preserve"> </w:t>
      </w:r>
      <w:r>
        <w:t xml:space="preserve">relative to the Roth multiple</w:t>
      </w:r>
      <w:r>
        <w:t xml:space="preserve"> </w:t>
      </w:r>
      <m:oMath>
        <m:r>
          <m:t>M</m:t>
        </m:r>
      </m:oMath>
      <w:r>
        <w:t xml:space="preserve">. The relationship to the SRC drag fraction is direct:</w:t>
      </w:r>
    </w:p>
    <w:p>
      <w:pPr>
        <w:pStyle w:val="BodyText"/>
      </w:pPr>
      <m:oMathPara>
        <m:oMathParaPr>
          <m:jc m:val="center"/>
        </m:oMathParaPr>
        <m:oMath>
          <m:r>
            <m:t>d</m:t>
          </m:r>
          <m:r>
            <m:rPr>
              <m:sty m:val="p"/>
            </m:rPr>
            <m:t>=</m:t>
          </m:r>
          <m:r>
            <m:t>1</m:t>
          </m:r>
          <m:r>
            <m:rPr>
              <m:sty m:val="p"/>
            </m:rPr>
            <m:t>−</m:t>
          </m:r>
          <m:f>
            <m:fPr>
              <m:type m:val="bar"/>
            </m:fPr>
            <m:num>
              <m:r>
                <m:rPr>
                  <m:sty m:val="p"/>
                </m:rPr>
                <m:t>(</m:t>
              </m:r>
              <m:sSup>
                <m:e>
                  <m:r>
                    <m:t>M</m:t>
                  </m:r>
                </m:e>
                <m:sup>
                  <m:r>
                    <m:rPr>
                      <m:sty m:val="p"/>
                    </m:rPr>
                    <m:t>′</m:t>
                  </m:r>
                </m:sup>
              </m:sSup>
              <m:sSup>
                <m:e>
                  <m:r>
                    <m:rPr>
                      <m:sty m:val="p"/>
                    </m:rPr>
                    <m:t>)</m:t>
                  </m:r>
                </m:e>
                <m:sup>
                  <m:r>
                    <m:t>1</m:t>
                  </m:r>
                  <m:r>
                    <m:rPr>
                      <m:sty m:val="p"/>
                    </m:rPr>
                    <m:t>/</m:t>
                  </m:r>
                  <m:r>
                    <m:t>n</m:t>
                  </m:r>
                </m:sup>
              </m:sSup>
            </m:num>
            <m:den>
              <m:sSup>
                <m:e>
                  <m:r>
                    <m:t>M</m:t>
                  </m:r>
                </m:e>
                <m:sup>
                  <m:r>
                    <m:t>1</m:t>
                  </m:r>
                  <m:r>
                    <m:rPr>
                      <m:sty m:val="p"/>
                    </m:rPr>
                    <m:t>/</m:t>
                  </m:r>
                  <m:r>
                    <m:t>n</m:t>
                  </m:r>
                </m:sup>
              </m:sSup>
            </m:den>
          </m:f>
        </m:oMath>
      </m:oMathPara>
    </w:p>
    <w:p>
      <w:pPr>
        <w:pStyle w:val="FirstParagraph"/>
      </w:pPr>
      <w:r>
        <w:t xml:space="preserve">For Vanguard’s</w:t>
      </w:r>
      <w:r>
        <w:t xml:space="preserve"> </w:t>
      </w:r>
      <m:oMath>
        <m:r>
          <m:t>M</m:t>
        </m:r>
        <m:r>
          <m:rPr>
            <m:sty m:val="p"/>
          </m:rPr>
          <m:t>=</m:t>
        </m:r>
        <m:r>
          <m:t>3</m:t>
        </m:r>
      </m:oMath>
      <w:r>
        <w:t xml:space="preserve">,</w:t>
      </w:r>
      <w:r>
        <w:t xml:space="preserve"> </w:t>
      </w:r>
      <m:oMath>
        <m:sSup>
          <m:e>
            <m:r>
              <m:t>M</m:t>
            </m:r>
          </m:e>
          <m:sup>
            <m:r>
              <m:rPr>
                <m:sty m:val="p"/>
              </m:rPr>
              <m:t>′</m:t>
            </m:r>
          </m:sup>
        </m:sSup>
        <m:r>
          <m:rPr>
            <m:sty m:val="p"/>
          </m:rPr>
          <m:t>=</m:t>
        </m:r>
        <m:r>
          <m:t>2</m:t>
        </m:r>
      </m:oMath>
      <w:r>
        <w:t xml:space="preserve">,</w:t>
      </w:r>
      <w:r>
        <w:t xml:space="preserve"> </w:t>
      </w:r>
      <m:oMath>
        <m:r>
          <m:t>n</m:t>
        </m:r>
        <m:r>
          <m:rPr>
            <m:sty m:val="p"/>
          </m:rPr>
          <m:t>=</m:t>
        </m:r>
        <m:r>
          <m:t>20</m:t>
        </m:r>
      </m:oMath>
      <w:r>
        <w:t xml:space="preserve">:</w:t>
      </w:r>
      <w:r>
        <w:t xml:space="preserve"> </w:t>
      </w:r>
      <m:oMath>
        <m:r>
          <m:t>d</m:t>
        </m:r>
        <m:r>
          <m:rPr>
            <m:sty m:val="p"/>
          </m:rPr>
          <m:t>=</m:t>
        </m:r>
        <m:r>
          <m:t>37.5</m:t>
        </m:r>
        <m:r>
          <m:rPr>
            <m:sty m:val="p"/>
          </m:rPr>
          <m:t>%</m:t>
        </m:r>
      </m:oMath>
      <w:r>
        <w:t xml:space="preserve"> </w:t>
      </w:r>
      <w:r>
        <w:t xml:space="preserve">— implicitly assuming a substantially higher tax-inefficiency than this paper’s</w:t>
      </w:r>
      <w:r>
        <w:t xml:space="preserve"> </w:t>
      </w:r>
      <m:oMath>
        <m:r>
          <m:t>d</m:t>
        </m:r>
        <m:r>
          <m:rPr>
            <m:sty m:val="p"/>
          </m:rPr>
          <m:t>=</m:t>
        </m:r>
        <m:r>
          <m:t>5</m:t>
        </m:r>
        <m:r>
          <m:rPr>
            <m:sty m:val="p"/>
          </m:rPr>
          <m:t>%</m:t>
        </m:r>
      </m:oMath>
      <w:r>
        <w:t xml:space="preserve"> </w:t>
      </w:r>
      <w:r>
        <w:t xml:space="preserve">baseline (corresponding to</w:t>
      </w:r>
      <w:r>
        <w:t xml:space="preserve"> </w:t>
      </w:r>
      <m:oMath>
        <m:sSup>
          <m:e>
            <m:r>
              <m:t>M</m:t>
            </m:r>
          </m:e>
          <m:sup>
            <m:r>
              <m:rPr>
                <m:sty m:val="p"/>
              </m:rPr>
              <m:t>′</m:t>
            </m:r>
          </m:sup>
        </m:sSup>
        <m:r>
          <m:rPr>
            <m:sty m:val="p"/>
          </m:rPr>
          <m:t>≈</m:t>
        </m:r>
        <m:r>
          <m:t>2.74</m:t>
        </m:r>
      </m:oMath>
      <w:r>
        <w:t xml:space="preserve">).</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confirm a constant</w:t>
      </w:r>
      <w:r>
        <w:t xml:space="preserve"> </w:t>
      </w:r>
      <w:r>
        <w:rPr>
          <w:b/>
          <w:bCs/>
        </w:rPr>
        <w:t xml:space="preserve">$1,695.86/year</w:t>
      </w:r>
      <w:r>
        <w:t xml:space="preserve"> </w:t>
      </w:r>
      <w:r>
        <w:t xml:space="preserve">increment matching the algebraic prediction to the cent, with identical</w:t>
      </w:r>
      <w:r>
        <w:t xml:space="preserve"> </w:t>
      </w:r>
      <w:r>
        <w:rPr>
          <w:b/>
          <w:bCs/>
        </w:rPr>
        <w:t xml:space="preserve">$9,766 PV totals</w:t>
      </w:r>
      <w:r>
        <w:t xml:space="preserve">. SRC (FV) = $33,917.27 =</w:t>
      </w:r>
      <w:r>
        <w:t xml:space="preserve"> </w:t>
      </w:r>
      <m:oMath>
        <m:r>
          <m:t>K</m:t>
        </m:r>
        <m:r>
          <m:rPr>
            <m:sty m:val="p"/>
          </m:rPr>
          <m:t>×</m:t>
        </m:r>
      </m:oMath>
      <w:r>
        <w:t xml:space="preserve"> </w:t>
      </w:r>
      <w:r>
        <w:t xml:space="preserve">annuity-factor multiple (§5).</w:t>
      </w:r>
    </w:p>
    <w:p>
      <w:pPr>
        <w:numPr>
          <w:ilvl w:val="0"/>
          <w:numId w:val="1007"/>
        </w:numPr>
      </w:pPr>
      <w:r>
        <w:rPr>
          <w:b/>
          <w:bCs/>
        </w:rPr>
        <w:t xml:space="preserve">Empirical (RMD case — generalization).</w:t>
      </w:r>
      <w:r>
        <w:t xml:space="preserve"> </w:t>
      </w:r>
      <w:r>
        <w:t xml:space="preserve">Under RMD, the per-year (Outside − Inside) increment varies but its PV sums to</w:t>
      </w:r>
      <w:r>
        <w:t xml:space="preserve"> </w:t>
      </w:r>
      <w:r>
        <w:rPr>
          <w:b/>
          <w:bCs/>
        </w:rPr>
        <w:t xml:space="preserve">+$17,965.96</w:t>
      </w:r>
      <w:r>
        <w:t xml:space="preserve">, within 4 cents of</w:t>
      </w:r>
      <w:r>
        <w:t xml:space="preserve"> </w:t>
      </w:r>
      <m:oMath>
        <m:r>
          <m:t>K</m:t>
        </m:r>
      </m:oMath>
      <w:r>
        <w:t xml:space="preserve">. SRC (FV) = $71,229.59 matches the 30-year nominal sum to $0.13 (§5B).</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 The framing also misreads the household’s saving intent — saving deliberately defers consumption to retirement or to heirs; a recoupment horizon at age 97 doesn’t make a conversion bad, it confirms the household is doing what investing is for.</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longer compounding — RMD’s 10-year beneficiary window compounds beyond FA’s owner-only 20 years. PV at 7% is identical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distributions push into higher brackets.</w:t>
      </w:r>
    </w:p>
    <w:p>
      <w:pPr>
        <w:pStyle w:val="Compact"/>
        <w:numPr>
          <w:ilvl w:val="0"/>
          <w:numId w:val="1009"/>
        </w:numPr>
      </w:pPr>
      <w:r>
        <w:rPr>
          <w:b/>
          <w:bCs/>
        </w:rPr>
        <w:t xml:space="preserve">SRC Tax-Drag</w:t>
      </w:r>
      <w:r>
        <w:t xml:space="preserve"> </w:t>
      </w:r>
      <w:r>
        <w:t xml:space="preserve">alpha is non-zero only under Outside payment — capturing the value of</w:t>
      </w:r>
      <w:r>
        <w:t xml:space="preserve"> </w:t>
      </w:r>
      <m:oMath>
        <m:r>
          <m:t>K</m:t>
        </m:r>
      </m:oMath>
      <w:r>
        <w:t xml:space="preserve"> </w:t>
      </w:r>
      <w:r>
        <w:t xml:space="preserve">dollars avoiding taxable-account drag.</w:t>
      </w:r>
    </w:p>
    <w:p>
      <w:pPr>
        <w:pStyle w:val="Compact"/>
        <w:numPr>
          <w:ilvl w:val="0"/>
          <w:numId w:val="1009"/>
        </w:numPr>
      </w:pPr>
      <w:r>
        <w:rPr>
          <w:b/>
          <w:bCs/>
        </w:rPr>
        <w:t xml:space="preserve">Conversion alpha components — identical for Inside and Outside</w:t>
      </w:r>
      <w:r>
        <w:t xml:space="preserve"> </w:t>
      </w:r>
      <w:r>
        <w:t xml:space="preserve">— confirm funding-source independence under each distribution method. Alphas: Tax-Rate Spread, Medicare-Surcharge Savings, and RMD Tax-Drag.</w:t>
      </w:r>
    </w:p>
    <w:p>
      <w:pPr>
        <w:pStyle w:val="Compact"/>
        <w:numPr>
          <w:ilvl w:val="0"/>
          <w:numId w:val="1009"/>
        </w:numPr>
      </w:pPr>
      <w:r>
        <w:rPr>
          <w:b/>
          <w:bCs/>
        </w:rPr>
        <w:t xml:space="preserve">Total ATCF (FV) differs between scenarios by the SRC’s lifetime payout.</w:t>
      </w:r>
      <w:r>
        <w:t xml:space="preserve"> </w:t>
      </w:r>
      <w:r>
        <w:t xml:space="preserve">Under FA: Outside $65,854 = Inside $31,937 + SRC $33,917.</w:t>
      </w:r>
    </w:p>
    <w:p>
      <w:pPr>
        <w:pStyle w:val="Compact"/>
        <w:numPr>
          <w:ilvl w:val="0"/>
          <w:numId w:val="1009"/>
        </w:numPr>
      </w:pPr>
      <w:r>
        <w:rPr>
          <w:b/>
          <w:bCs/>
        </w:rPr>
        <w:t xml:space="preserve">Cash-Flow IRR</w:t>
      </w:r>
      <w:r>
        <w:t xml:space="preserve"> </w:t>
      </w:r>
      <w:r>
        <w:t xml:space="preserve">for Outside (15.0% FA, 11.5% RMD) exceeds the 7% portfolio rate because the lifetime distributions include the conversion’s alpha — rate-arbitrage spread, Medicare savings, RMD tax-drag savings, and SRC tax-drag avoidance. Inside has no out-of-pocket cash; IRR is undefined.</w:t>
      </w:r>
    </w:p>
    <w:p>
      <w:r>
        <w:pict>
          <v:rect style="width:0;height:1.5pt" o:hralign="center" o:hrstd="t" o:hr="t"/>
        </w:pict>
      </w:r>
    </w:p>
    <w:p>
      <w:pPr>
        <w:pStyle w:val="FirstParagraph"/>
      </w:pPr>
      <w:r>
        <w:rPr>
          <w:i/>
          <w:iCs/>
        </w:rPr>
        <w:t xml:space="preserve">Draft prepared 2026-05-18.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2026-05-19T01:13:11Z</dcterms:created>
  <dcterms:modified xsi:type="dcterms:W3CDTF">2026-05-19T01:13:11Z</dcterms:modified>
</cp:coreProperties>
</file>

<file path=docProps/custom.xml><?xml version="1.0" encoding="utf-8"?>
<Properties xmlns="http://schemas.openxmlformats.org/officeDocument/2006/custom-properties" xmlns:vt="http://schemas.openxmlformats.org/officeDocument/2006/docPropsVTypes"/>
</file>