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w:t>
      </w:r>
    </w:p>
    <w:p>
      <w:pPr>
        <w:numPr>
          <w:ilvl w:val="0"/>
          <w:numId w:val="1005"/>
        </w:numPr>
      </w:pPr>
      <w:r>
        <w:rPr>
          <w:i/>
          <w:iCs/>
        </w:rPr>
        <w:t xml:space="preserve">Conversion decision</w:t>
      </w:r>
      <w:r>
        <w:t xml:space="preserve"> </w:t>
      </w:r>
      <w:r>
        <w:t xml:space="preserve">(yes/no, how much). Determined by the sum of PV alpha components irrespective of funding source: the rate-arbitrage Core (the</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spread on converted principal); the IRMAA / Medicare alpha (for households whose post-conversion income lowers their Medicare-surcharge bracket exposure; not decomposed in this paper); and the RMD tax-drag alpha (drag avoided on reinvested distributions reduced by converting a portion of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tax-drag-avoidance alpha of §6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2026-05-15T11:15:23Z</dcterms:created>
  <dcterms:modified xsi:type="dcterms:W3CDTF">2026-05-15T11:15:23Z</dcterms:modified>
</cp:coreProperties>
</file>

<file path=docProps/custom.xml><?xml version="1.0" encoding="utf-8"?>
<Properties xmlns="http://schemas.openxmlformats.org/officeDocument/2006/custom-properties" xmlns:vt="http://schemas.openxmlformats.org/officeDocument/2006/docPropsVTypes"/>
</file>