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w:t>
      </w:r>
      <w:r>
        <w:t xml:space="preserve"> </w:t>
      </w:r>
      <w:r>
        <w:rPr>
          <w:b/>
          <w:bCs/>
        </w:rPr>
        <w:t xml:space="preserve">wrapper-composition</w:t>
      </w:r>
      <w:r>
        <w:t xml:space="preserve"> </w:t>
      </w:r>
      <w:r>
        <w:t xml:space="preserve">difference between Outside and Inside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re-wrapped</w:t>
      </w:r>
      <w:r>
        <w:t xml:space="preserve"> </w:t>
      </w:r>
      <w:r>
        <w:t xml:space="preserve">$22,000 of after-tax cash from a tax-drag-bearing Bank wrapper into a tax-free Roth wrapper.</w:t>
      </w:r>
    </w:p>
    <w:bookmarkEnd w:id="15"/>
    <w:bookmarkStart w:id="16" w:name="symmetry-to-statutory-roth-contributions"/>
    <w:p>
      <w:pPr>
        <w:pStyle w:val="Heading3"/>
      </w:pPr>
      <w:r>
        <w:t xml:space="preserve">3.4 Symmetry to Statutory Roth Contributions</w:t>
      </w:r>
    </w:p>
    <w:p>
      <w:pPr>
        <w:pStyle w:val="FirstParagraph"/>
      </w:pPr>
      <w:r>
        <w:t xml:space="preserve">The</w:t>
      </w:r>
      <w:r>
        <w:t xml:space="preserve"> </w:t>
      </w:r>
      <w:r>
        <w:t xml:space="preserve">“no cost”</w:t>
      </w:r>
      <w:r>
        <w:t xml:space="preserve"> </w:t>
      </w:r>
      <w:r>
        <w:t xml:space="preserve">framing of the SRC has a direct structural analogue in the statutory Roth contribution.</w:t>
      </w:r>
    </w:p>
    <w:p>
      <w:pPr>
        <w:pStyle w:val="BodyText"/>
      </w:pPr>
      <w:r>
        <w:t xml:space="preserve">A household that contributes $22,000 to a Roth 401K from after-tax Bank cash performs an explicit wrapper migration: $22,000 of after-tax cash that previously sat in the Bank wrapper now sits in the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 The contribution itself is wrapper migration alone, with no reduction in after-tax wealth at the migration moment.</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2026-05-14T13:57:16Z</dcterms:created>
  <dcterms:modified xsi:type="dcterms:W3CDTF">2026-05-14T13:57:16Z</dcterms:modified>
</cp:coreProperties>
</file>

<file path=docProps/custom.xml><?xml version="1.0" encoding="utf-8"?>
<Properties xmlns="http://schemas.openxmlformats.org/officeDocument/2006/custom-properties" xmlns:vt="http://schemas.openxmlformats.org/officeDocument/2006/docPropsVTypes"/>
</file>