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pPr>
        <w:pStyle w:val="BodyText"/>
      </w:pPr>
      <w:r>
        <w:rPr>
          <w:b/>
          <w:bCs/>
        </w:rPr>
        <w:t xml:space="preserve">Contributions of this paper.</w:t>
      </w:r>
    </w:p>
    <w:p>
      <w:pPr>
        <w:numPr>
          <w:ilvl w:val="0"/>
          <w:numId w:val="1001"/>
        </w:numPr>
      </w:pPr>
      <w:r>
        <w:rPr>
          <w:b/>
          <w:bCs/>
        </w:rPr>
        <w:t xml:space="preserve">Formal definition and separable decomposition.</w:t>
      </w:r>
      <w:r>
        <w:t xml:space="preserve"> </w:t>
      </w:r>
      <w:r>
        <w:t xml:space="preserve">The SRC is defined as the conversion-tax amount</w:t>
      </w:r>
      <w:r>
        <w:t xml:space="preserve"> </w:t>
      </w:r>
      <m:oMath>
        <m:r>
          <m:t>K</m:t>
        </m:r>
      </m:oMath>
      <w:r>
        <w:t xml:space="preserve"> </w:t>
      </w:r>
      <w:r>
        <w:t xml:space="preserve">migrating from the bank account into the Roth wrapper under Outside funding, with its own per-year IRR / PV / FV identity distinct from the rate-arbitrage Core, the Medicare-surcharge-reduction alpha, and the RMD tax-drag alpha. To our knowledge, this separable decomposition has not been published outside this framework.</w:t>
      </w:r>
    </w:p>
    <w:p>
      <w:pPr>
        <w:numPr>
          <w:ilvl w:val="0"/>
          <w:numId w:val="1001"/>
        </w:numPr>
      </w:pPr>
      <w:r>
        <w:rPr>
          <w:b/>
          <w:bCs/>
        </w:rPr>
        <w:t xml:space="preserve">Algebraic proof of the matched-rate PV identity.</w:t>
      </w:r>
      <w:r>
        <w:t xml:space="preserve"> </w:t>
      </w:r>
      <w:r>
        <w:t xml:space="preserve">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via the annuity-payment / present-value identity (§4).</w:t>
      </w:r>
    </w:p>
    <w:p>
      <w:pPr>
        <w:numPr>
          <w:ilvl w:val="0"/>
          <w:numId w:val="1001"/>
        </w:numPr>
      </w:pPr>
      <w:r>
        <w:rPr>
          <w:b/>
          <w:bCs/>
        </w:rPr>
        <w:t xml:space="preserve">Empirical validation under both Fixed Annuity and RMD distributions.</w:t>
      </w:r>
      <w:r>
        <w:t xml:space="preserve"> </w:t>
      </w:r>
      <w:r>
        <w:t xml:space="preserve">Paired Inside/Outside scenarios confirm the algebraic identity — the constant $1,695.86/year increment under FA (§5) and a per-year-varying but PV-canceling increment under RMD (§5B), closing the year-0 outflow to within 4 cents over a 30-year horizon.</w:t>
      </w:r>
    </w:p>
    <w:p>
      <w:pPr>
        <w:numPr>
          <w:ilvl w:val="0"/>
          <w:numId w:val="1001"/>
        </w:numPr>
      </w:pPr>
      <w:r>
        <w:rPr>
          <w:b/>
          <w:bCs/>
        </w:rPr>
        <w:t xml:space="preserve">Wrapper Migration Neutrality as a generalizing principle.</w:t>
      </w:r>
      <w:r>
        <w:t xml:space="preserve"> </w:t>
      </w:r>
      <w:r>
        <w:t xml:space="preserve">Pure wrapper migrations at constant household wealth impose no PV cost at the portfolio rate. The SRC is one instance of this principle (§3.5).</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 that McQuarrie’s same-rate framework eliminates by construction.</w:t>
      </w:r>
    </w:p>
    <w:p>
      <w:pPr>
        <w:pStyle w:val="BodyText"/>
      </w:pPr>
      <w:r>
        <w:t xml:space="preserve">The identity is derivable from McQuarrie’s own Table 1. His column 8 — tax-at-22% on each year’s RMD over the 27-year distribution horizon — discounted at the same 6% portfolio rate his paper uses for NPV, sums to ~$22,000, exactly the up-front conversion tax. This is the matched-rate PV identity of §4:</w:t>
      </w:r>
      <w:r>
        <w:t xml:space="preserve"> </w:t>
      </w:r>
      <m:oMath>
        <m:sSub>
          <m:e>
            <m:r>
              <m:rPr>
                <m:sty m:val="p"/>
              </m:rPr>
              <m:t>P</m:t>
            </m:r>
            <m:r>
              <m:rPr>
                <m:sty m:val="p"/>
              </m:rPr>
              <m:t>V</m:t>
            </m:r>
          </m:e>
          <m:sub>
            <m:r>
              <m:t>r</m:t>
            </m:r>
          </m:sub>
        </m:sSub>
      </m:oMath>
      <w:r>
        <w:t xml:space="preserve"> </w:t>
      </w:r>
      <w:r>
        <w:t xml:space="preserve">of the avoided-distribution-tax stream at the conversion rate equals</w:t>
      </w:r>
      <w:r>
        <w:t xml:space="preserve"> </w:t>
      </w:r>
      <m:oMath>
        <m:r>
          <m:t>K</m:t>
        </m:r>
      </m:oMath>
      <w:r>
        <w:t xml:space="preserve">. McQuarrie published the column but never discounted it separately — his framework computes Col 7 − Col 8 (the $3,000 rate-arbitrage Core) and treats the $22,000 as a one-sided cost, hiding the wrapper migration that his own data implicitly prove is PV-zero.</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2"/>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2"/>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3"/>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3"/>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3"/>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Medicare-surcharge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r>
        <w:pict>
          <v:rect style="width:0;height:1.5pt" o:hralign="center" o:hrstd="t" o:hr="t"/>
        </w:pict>
      </w:r>
    </w:p>
    <w:bookmarkEnd w:id="32"/>
    <w:bookmarkStart w:id="33" w:name="Xbc384f24a5ce11d636f22e8d1847e97eddfe496"/>
    <w:p>
      <w:pPr>
        <w:pStyle w:val="Heading2"/>
      </w:pPr>
      <w:r>
        <w:t xml:space="preserve">7. Implications: Convert? Then Fund Inside or Outside?</w:t>
      </w:r>
    </w:p>
    <w:p>
      <w:pPr>
        <w:pStyle w:val="FirstParagraph"/>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6"/>
        </w:numPr>
      </w:pPr>
      <w:r>
        <w:rPr>
          <w:b/>
          <w:bCs/>
        </w:rPr>
        <w:t xml:space="preserve">Conversion (yes/no, how much):</w:t>
      </w:r>
      <w:r>
        <w:t xml:space="preserve"> </w:t>
      </w:r>
      <w:r>
        <w:t xml:space="preserve">driven by the sum of PV alpha components that don’t depend on funding source — the rate-arbitrage Core (spread on converted principal), the Medicare-surcharge-reduction alpha (not decomposed here), and the RMD tax-drag alpha (drag avoided on reinvested RMDs the conversion eliminates). Each follows from the conversion event itself, not from how the tax is paid. Convert if the sum is PV-positive.</w:t>
      </w:r>
    </w:p>
    <w:p>
      <w:pPr>
        <w:numPr>
          <w:ilvl w:val="0"/>
          <w:numId w:val="1006"/>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turning the conversion tax from a cost into an investment. The payoff is the tax-drag-avoidance alpha of §6 ($1,021 PV in the Outside RMD scenario), added to the conversion alpha sum to give total Outside-conversion alpha.</w:t>
      </w:r>
    </w:p>
    <w:p>
      <w:pPr>
        <w:pStyle w:val="FirstParagraph"/>
      </w:pPr>
      <w:r>
        <w:t xml:space="preserve">The SRC materializes only as a side effect of choosing Outside funding for an already-decided conversion.</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Medicare-surcharge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r>
        <w:t xml:space="preserve"> </w:t>
      </w:r>
      <w:r>
        <w:rPr>
          <w:b/>
          <w:bCs/>
        </w:rPr>
        <w:t xml:space="preserve">Including the SRC turns Roth conversion analysis from a tax-rate-spread question into a wrapper-allocation question.</w:t>
      </w:r>
    </w:p>
    <w:p>
      <w:pPr>
        <w:pStyle w:val="BodyText"/>
      </w:pPr>
      <w:r>
        <w:rPr>
          <w:b/>
          <w:bCs/>
        </w:rPr>
        <w:t xml:space="preserve">Implications for practice:</w:t>
      </w:r>
    </w:p>
    <w:p>
      <w:pPr>
        <w:numPr>
          <w:ilvl w:val="0"/>
          <w:numId w:val="1008"/>
        </w:numPr>
      </w:pPr>
      <w:r>
        <w:rPr>
          <w:b/>
          <w:bCs/>
        </w:rPr>
        <w:t xml:space="preserve">The SRC framework is the first separable decomposition.</w:t>
      </w:r>
      <w:r>
        <w:t xml:space="preserve"> </w:t>
      </w:r>
      <w:r>
        <w:t xml:space="preserve">A per-year PV / FV / IRR bucket for the funding-source effect —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 the portfolio rate — has not, to our knowledge, been published outside this framework. Reichenstein &amp; Meyer (2017), Vanguard BETR (2025), and Nalebuff/Haghani/White (2025) each capture related parts but do not state the identity.</w:t>
      </w:r>
    </w:p>
    <w:p>
      <w:pPr>
        <w:numPr>
          <w:ilvl w:val="0"/>
          <w:numId w:val="1008"/>
        </w:numPr>
      </w:pPr>
      <w:r>
        <w:rPr>
          <w:b/>
          <w:bCs/>
        </w:rPr>
        <w:t xml:space="preserve">The SRC is separable from the rate-arbitrage Core.</w:t>
      </w:r>
      <w:r>
        <w:t xml:space="preserve"> </w:t>
      </w:r>
      <w:r>
        <w:t xml:space="preserve">Calculators that pool them into a single</w:t>
      </w:r>
      <w:r>
        <w:t xml:space="preserve"> </w:t>
      </w:r>
      <w:r>
        <w:t xml:space="preserve">“conversion value”</w:t>
      </w:r>
      <w:r>
        <w:t xml:space="preserve"> </w:t>
      </w:r>
      <w:r>
        <w:t xml:space="preserve">miss the SRC’s distinct economic signal — especially when</w:t>
      </w:r>
      <w:r>
        <w:t xml:space="preserve"> </w:t>
      </w:r>
      <m:oMath>
        <m:sSub>
          <m:e>
            <m:r>
              <m:t>t</m:t>
            </m:r>
          </m:e>
          <m:sub>
            <m:r>
              <m:t>C</m:t>
            </m:r>
          </m:sub>
        </m:sSub>
        <m:r>
          <m:rPr>
            <m:sty m:val="p"/>
          </m:rPr>
          <m:t>&gt;</m:t>
        </m:r>
        <m:sSub>
          <m:e>
            <m:r>
              <m:t>t</m:t>
            </m:r>
          </m:e>
          <m:sub>
            <m:r>
              <m:t>D</m:t>
            </m:r>
          </m:sub>
        </m:sSub>
      </m:oMath>
      <w:r>
        <w:t xml:space="preserve">, where the rate-arbitrage Core is negative but the SRC’s tax-drag-avoidance alpha (under Outside funding) can still render the household total favorable.</w:t>
      </w:r>
    </w:p>
    <w:p>
      <w:pPr>
        <w:numPr>
          <w:ilvl w:val="0"/>
          <w:numId w:val="1008"/>
        </w:numPr>
      </w:pPr>
      <w:r>
        <w:rPr>
          <w:b/>
          <w:bCs/>
        </w:rPr>
        <w:t xml:space="preserve">The</w:t>
      </w:r>
      <w:r>
        <w:rPr>
          <w:b/>
          <w:bCs/>
        </w:rPr>
        <w:t xml:space="preserve"> </w:t>
      </w:r>
      <w:r>
        <w:rPr>
          <w:b/>
          <w:bCs/>
        </w:rPr>
        <w:t xml:space="preserve">“live past 97 to break even”</w:t>
      </w:r>
      <w:r>
        <w:rPr>
          <w:b/>
          <w:bCs/>
        </w:rPr>
        <w:t xml:space="preserve"> </w:t>
      </w:r>
      <w:r>
        <w:rPr>
          <w:b/>
          <w:bCs/>
        </w:rPr>
        <w:t xml:space="preserve">framing no longer holds under SRC accounting.</w:t>
      </w:r>
      <w:r>
        <w:t xml:space="preserve"> </w:t>
      </w:r>
      <w:r>
        <w:t xml:space="preserve">McQuarrie (2024)’s pessimism rests on running NPV entirely off the Traditional shadow balance — structurally omitting the post-conversion Roth balance and treating the conversion tax as a one-sided cost rather than a wrapper migration of the household’s own funds. There is no recoupment-age threshold: a conversion has no time-horizon break-even because there is no cost.</w:t>
      </w:r>
    </w:p>
    <w:p>
      <w:pPr>
        <w:numPr>
          <w:ilvl w:val="0"/>
          <w:numId w:val="1008"/>
        </w:numPr>
      </w:pPr>
      <w:r>
        <w:rPr>
          <w:b/>
          <w:bCs/>
        </w:rPr>
        <w:t xml:space="preserve">The conversion decision is PV of alpha components, not rules of thumb.</w:t>
      </w:r>
      <w:r>
        <w:t xml:space="preserve"> </w:t>
      </w:r>
      <w:r>
        <w:t xml:space="preserve">The</w:t>
      </w:r>
      <w:r>
        <w:t xml:space="preserve"> </w:t>
      </w:r>
      <w:r>
        <w:t xml:space="preserve">“convert only when future tax rates are higher”</w:t>
      </w:r>
      <w:r>
        <w:t xml:space="preserve"> </w:t>
      </w:r>
      <w:r>
        <w:t xml:space="preserve">rule captures the rate-arbitrage Core in isolation and ignores Medicare-surcharge-reduction and RMD tax-drag — both of which can flip the decision. Households deferring otherwise-favorable conversions on the basis of published recoupment-age advice are reacting to an incomplete accounting, not to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Medicare-Surcharge Savings (FV)</w:t>
            </w:r>
          </w:p>
        </w:tc>
        <w:tc>
          <w:tcPr/>
          <w:p>
            <w:pPr>
              <w:pStyle w:val="Compact"/>
            </w:pPr>
            <w:r>
              <w:t xml:space="preserve">$7,680.36</w:t>
            </w:r>
          </w:p>
        </w:tc>
        <w:tc>
          <w:tcPr/>
          <w:p>
            <w:pPr>
              <w:pStyle w:val="Compact"/>
            </w:pPr>
            <w:r>
              <w:t xml:space="preserve">$7,680.36</w:t>
            </w:r>
          </w:p>
        </w:tc>
      </w:tr>
      <w:tr>
        <w:tc>
          <w:tcPr/>
          <w:p>
            <w:pPr>
              <w:pStyle w:val="Compact"/>
            </w:pPr>
            <w:r>
              <w:t xml:space="preserve">Medicare-Surcharge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Medicare-Surcharge Savings (FV)</w:t>
            </w:r>
          </w:p>
        </w:tc>
        <w:tc>
          <w:tcPr/>
          <w:p>
            <w:pPr>
              <w:pStyle w:val="Compact"/>
            </w:pPr>
            <w:r>
              <w:t xml:space="preserve">$7,648.20</w:t>
            </w:r>
          </w:p>
        </w:tc>
        <w:tc>
          <w:tcPr/>
          <w:p>
            <w:pPr>
              <w:pStyle w:val="Compact"/>
            </w:pPr>
            <w:r>
              <w:t xml:space="preserve">$7,648.20</w:t>
            </w:r>
          </w:p>
        </w:tc>
      </w:tr>
      <w:tr>
        <w:tc>
          <w:tcPr/>
          <w:p>
            <w:pPr>
              <w:pStyle w:val="Compact"/>
            </w:pPr>
            <w:r>
              <w:t xml:space="preserve">Medicare-Surcharge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rPr>
          <w:b/>
          <w:bCs/>
        </w:rPr>
        <w:t xml:space="preserve">Synthetic Roth Contribution (FV).</w:t>
      </w:r>
      <w:r>
        <w:t xml:space="preserve"> </w:t>
      </w:r>
      <w:r>
        <w:t xml:space="preserve">Outside FA = $33,917.27 =</w:t>
      </w:r>
      <w:r>
        <w:t xml:space="preserve"> </w:t>
      </w:r>
      <m:oMath>
        <m:r>
          <m:t>K</m:t>
        </m:r>
        <m:r>
          <m:rPr>
            <m:sty m:val="p"/>
          </m:rPr>
          <m:t>×</m:t>
        </m:r>
      </m:oMath>
      <w:r>
        <w:t xml:space="preserve"> </w:t>
      </w:r>
      <w:r>
        <w:t xml:space="preserve">1.88786; Outside RMD = $71,229.59 ≈ nominal 30-year (Outside − Inside) ATCF delta of $71,229.46. RMD’s larger nominal SRC reflects the longer compounding horizon — RMD’s 10-year beneficiary window extends the SRC compound period beyond FA’s owner-only 20 years. PV at 7% is identical across methods ($17,966 =</w:t>
      </w:r>
      <w:r>
        <w:t xml:space="preserve"> </w:t>
      </w:r>
      <m:oMath>
        <m:r>
          <m:t>K</m:t>
        </m:r>
      </m:oMath>
      <w:r>
        <w:t xml:space="preserve">), as the §4 identity requires.</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lifetime distributions into higher brackets.</w:t>
      </w:r>
    </w:p>
    <w:p>
      <w:pPr>
        <w:pStyle w:val="Compact"/>
        <w:numPr>
          <w:ilvl w:val="0"/>
          <w:numId w:val="1009"/>
        </w:numPr>
      </w:pPr>
      <w:r>
        <w:rPr>
          <w:b/>
          <w:bCs/>
        </w:rPr>
        <w:t xml:space="preserve">SRC Tax-Drag</w:t>
      </w:r>
      <w:r>
        <w:t xml:space="preserve"> </w:t>
      </w:r>
      <w:r>
        <w:t xml:space="preserve">is non-zero only under Outside payment — it captures the value of</w:t>
      </w:r>
      <w:r>
        <w:t xml:space="preserve"> </w:t>
      </w:r>
      <m:oMath>
        <m:r>
          <m:t>K</m:t>
        </m:r>
      </m:oMath>
      <w:r>
        <w:t xml:space="preserve"> </w:t>
      </w:r>
      <w:r>
        <w:t xml:space="preserve">dollars escaping taxable-account drag.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9"/>
        </w:numPr>
      </w:pPr>
      <w:r>
        <w:rPr>
          <w:b/>
          <w:bCs/>
        </w:rPr>
        <w:t xml:space="preserve">Tax-Rate Spread, Medicare-Surcharge Savings, and RMD Tax-Drag are identical between Inside and Outside</w:t>
      </w:r>
      <w:r>
        <w:t xml:space="preserve"> </w:t>
      </w:r>
      <w:r>
        <w:t xml:space="preserve">within each distribution method — confirming these components are funding-source-independent, as the SRC framework predicts.</w:t>
      </w:r>
    </w:p>
    <w:p>
      <w:pPr>
        <w:pStyle w:val="Compact"/>
        <w:numPr>
          <w:ilvl w:val="0"/>
          <w:numId w:val="1009"/>
        </w:numPr>
      </w:pPr>
      <w:r>
        <w:rPr>
          <w:b/>
          <w:bCs/>
        </w:rPr>
        <w:t xml:space="preserve">Total ATCF Change (FV) differs between scenarios</w:t>
      </w:r>
      <w:r>
        <w:t xml:space="preserve"> </w:t>
      </w:r>
      <w:r>
        <w:t xml:space="preserve">because Outside’s distribution stream includes the year-by-year SRC increment. Under FA: Outside FV ≈ Inside FV + (</w:t>
      </w:r>
      <m:oMath>
        <m:r>
          <m:t>K</m:t>
        </m:r>
        <m:r>
          <m:rPr>
            <m:sty m:val="p"/>
          </m:rPr>
          <m:t>×</m:t>
        </m:r>
      </m:oMath>
      <w:r>
        <w:t xml:space="preserve"> </w:t>
      </w:r>
      <w:r>
        <w:t xml:space="preserve">annuity-factor multiple) = $31,937 + $33,917 = $65,854.</w:t>
      </w:r>
    </w:p>
    <w:p>
      <w:pPr>
        <w:pStyle w:val="Compact"/>
        <w:numPr>
          <w:ilvl w:val="0"/>
          <w:numId w:val="1009"/>
        </w:numPr>
      </w:pPr>
      <w:r>
        <w:rPr>
          <w:b/>
          <w:bCs/>
        </w:rPr>
        <w:t xml:space="preserve">Full-Cash-Flow IRR</w:t>
      </w:r>
      <w:r>
        <w:t xml:space="preserve"> </w:t>
      </w:r>
      <w:r>
        <w:t xml:space="preserve">is undefined under Inside payment (no outside outlay; cash-flow stream is purely positive). Under Outside it is meaningful: the Outside IRR exceeds the portfolio rate by the combined spread + Medicare-surcharge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2026-05-15T15:11:50Z</dcterms:created>
  <dcterms:modified xsi:type="dcterms:W3CDTF">2026-05-15T15:11:50Z</dcterms:modified>
</cp:coreProperties>
</file>

<file path=docProps/custom.xml><?xml version="1.0" encoding="utf-8"?>
<Properties xmlns="http://schemas.openxmlformats.org/officeDocument/2006/custom-properties" xmlns:vt="http://schemas.openxmlformats.org/officeDocument/2006/docPropsVTypes"/>
</file>