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The Section 5 demonstration uses Fixed Annuity (FA) distributions, which deplete the retirement balance to zero at the end of the owner’s life. The constant-per-year SRC increment of $1,695.86 emerges from FA’s flat distribution schedule.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Same profile, same conversion (</w:t>
      </w:r>
      <m:oMath>
        <m:r>
          <m:t>C</m:t>
        </m:r>
      </m:oMath>
      <w:r>
        <w:t xml:space="preserve"> </w:t>
      </w:r>
      <w:r>
        <w:t xml:space="preserve">= $123,850,</w:t>
      </w:r>
      <w:r>
        <w:t xml:space="preserve"> </w:t>
      </w:r>
      <m:oMath>
        <m:r>
          <m:t>K</m:t>
        </m:r>
      </m:oMath>
      <w:r>
        <w:t xml:space="preserve"> </w:t>
      </w:r>
      <w:r>
        <w:t xml:space="preserve">= $17,966), same portfolio return assumption (7.00%), same 20-year owner life expectancy. RMD-Only distributions begin at the IRS-mandated age 73 (year 2030), running through age 92 (year 2049), followed by a 10-year statutory beneficiary distribution period (years 2050–2059), distributed as a constant annuity-payment stream over the 10 years (not as continued RMDs, since the inherited Roth has no annual RMD requirement under SECURE Act’s 10-year rule).</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is that the per-year</w:t>
      </w:r>
      <w:r>
        <w:t xml:space="preserve"> </w:t>
      </w:r>
      <w:r>
        <w:rPr>
          <w:b/>
          <w:bCs/>
        </w:rPr>
        <w:t xml:space="preserve">(Outside − Inside) increment is NOT constant</w:t>
      </w:r>
      <w:r>
        <w:t xml:space="preserve">. RMD distributions vary with the age-indexed divisor and with the post-conversion balance trajectory. The SRC’s per-year contribution therefore tracks RMD’s varying schedule rather than producing a flat dollar value.</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the per-year increment varying from $831 (year 2030) to $2,596 (year 2049) in the owner period and to a flat $3,901 (years 2050–2059) in the beneficiary period. The variation matters; the PV total does not.</w:t>
      </w:r>
    </w:p>
    <w:p>
      <w:pPr>
        <w:pStyle w:val="BodyText"/>
      </w:pPr>
      <w:r>
        <w:t xml:space="preserve">Compare to the FA case (§5.3), where each year’s increment was a flat $1,695.86 because FA’s distribution schedule itself is flat. RMD’s per-year increment varies because RMD’s distribution amounts vary year-by-year, which in turn modulates the year-by-year benefit of having a larger (Outside) versus smaller (Inside) starting Roth balance.</w:t>
      </w:r>
      <w:r>
        <w:t xml:space="preserve"> </w:t>
      </w:r>
      <w:r>
        <w:rPr>
          <w:b/>
          <w:bCs/>
        </w:rPr>
        <w:t xml:space="preserve">The varying per-year SRC increment is a feature of distribution-method-specific cash-flow shapes, not a violation of the SRC framework.</w:t>
      </w:r>
      <w:r>
        <w:t xml:space="preserve"> </w:t>
      </w:r>
      <w:r>
        <w:t xml:space="preserve">Across both distribution methods, the SRC’s PV at the portfolio rate equals exactly zero.</w:t>
      </w:r>
    </w:p>
    <w:bookmarkEnd w:id="29"/>
    <w:bookmarkStart w:id="30" w:name="X2c317d26497880f028adf5524dc89e526149274"/>
    <w:p>
      <w:pPr>
        <w:pStyle w:val="Heading3"/>
      </w:pPr>
      <w:r>
        <w:t xml:space="preserve">5B.4 The SRC’s Lifetime Nominal Payout — Engine Formula and Empirical Cross-Validation</w:t>
      </w:r>
    </w:p>
    <w:p>
      <w:pPr>
        <w:pStyle w:val="FirstParagraph"/>
      </w:pPr>
      <w:r>
        <w:t xml:space="preserve">The SRC’s</w:t>
      </w:r>
      <w:r>
        <w:t xml:space="preserve"> </w:t>
      </w:r>
      <w:r>
        <w:rPr>
          <w:b/>
          <w:bCs/>
        </w:rPr>
        <w:t xml:space="preserve">lifetime nominal payout</w:t>
      </w:r>
      <w:r>
        <w:t xml:space="preserve"> </w:t>
      </w:r>
      <w:r>
        <w:t xml:space="preserve">is the total of all year-by-year after-tax distributions the household receives from the Roth attributable to the conversion-tax dollar entering the Roth (the synthetic contribution). Conceptually this is the sum of the per-year (Outside − Inside) ΔATCF column over the full distribution horizon: the SRC’s nominal lifetime cash payoff.</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household’s distribution schedule. Under FA distribution,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(1.88786 in our scenario, with</w:t>
      </w:r>
      <w:r>
        <w:t xml:space="preserve"> </w:t>
      </w:r>
      <m:oMath>
        <m:r>
          <m:t>r</m:t>
        </m:r>
        <m:r>
          <m:rPr>
            <m:sty m:val="p"/>
          </m:rPr>
          <m:t>=</m:t>
        </m:r>
        <m:r>
          <m:t>7</m:t>
        </m:r>
        <m:r>
          <m:rPr>
            <m:sty m:val="p"/>
          </m:rPr>
          <m:t>%</m:t>
        </m:r>
      </m:oMath>
      <w:r>
        <w:t xml:space="preserve">,</w:t>
      </w:r>
      <w:r>
        <w:t xml:space="preserve"> </w:t>
      </w:r>
      <m:oMath>
        <m:r>
          <m:t>N</m:t>
        </m:r>
        <m:r>
          <m:rPr>
            <m:sty m:val="p"/>
          </m:rPr>
          <m:t>=</m:t>
        </m:r>
        <m:r>
          <m:t>20</m:t>
        </m:r>
      </m:oMath>
      <w:r>
        <w:t xml:space="preserve">). Under RMD distribution, it is determined empirically from the year-by-year RMD divisor schedule applied to the SRC’s</w:t>
      </w:r>
      <w:r>
        <w:t xml:space="preserve"> </w:t>
      </w:r>
      <m:oMath>
        <m:r>
          <m:t>K</m:t>
        </m:r>
      </m:oMath>
      <w:r>
        <w:t xml:space="preserve"> </w:t>
      </w:r>
      <w:r>
        <w:t xml:space="preserve">dollars. 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2026-05-14T18:24:22Z</dcterms:created>
  <dcterms:modified xsi:type="dcterms:W3CDTF">2026-05-14T18:24:22Z</dcterms:modified>
</cp:coreProperties>
</file>

<file path=docProps/custom.xml><?xml version="1.0" encoding="utf-8"?>
<Properties xmlns="http://schemas.openxmlformats.org/officeDocument/2006/custom-properties" xmlns:vt="http://schemas.openxmlformats.org/officeDocument/2006/docPropsVTypes"/>
</file>