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6d2ad215d2e6367c7cb1eff0628692cb8617c07"/>
    <w:p>
      <w:pPr>
        <w:pStyle w:val="Heading1"/>
      </w:pPr>
      <w:r>
        <w:t xml:space="preserve">The Synthetic Roth Contribution: Empirical and Algebraic Proofs of a Hidden Component in Outside-Funded Roth Conversions</w:t>
      </w:r>
    </w:p>
    <w:p>
      <w:pPr>
        <w:pStyle w:val="FirstParagraph"/>
      </w:pPr>
      <w:r>
        <w:rPr>
          <w:b/>
          <w:bCs/>
        </w:rPr>
        <w:t xml:space="preserve">Steven Cheshire, CFA</w:t>
      </w:r>
      <w:r>
        <w:t xml:space="preserve"> </w:t>
      </w:r>
      <w:r>
        <w:t xml:space="preserve">Draft: 2026-05-20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Traditional accounting of Roth conversion value focuses on the arbitrage between the conversion-year tax rate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 the time-weighted distribution tax rate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. This framing is incomplete. When the conversion tax is paid from outside the retirement account, after-tax dollars equal to the conversion tax migrate from a taxable wrapper into a tax-free wrapper, where they grow tax-free for the life of the account, including any beneficiary period. We name this effect the</w:t>
      </w:r>
      <w:r>
        <w:t xml:space="preserve"> </w:t>
      </w:r>
      <w:r>
        <w:rPr>
          <w:b/>
          <w:bCs/>
        </w:rPr>
        <w:t xml:space="preserve">Synthetic Roth Contribution</w:t>
      </w:r>
      <w:r>
        <w:t xml:space="preserve"> </w:t>
      </w:r>
      <w:r>
        <w:t xml:space="preserve">(SRC). Cheshire (2025, SSRN 5205840) introduced the concept, decomposing conversion-tax payback into SRC plus tax-rate-arbitrage components. Additional SRC alpha lies in tax-drag avoidance. We now formalize the SRC as a separable component with its own PV / FV / IRR identity, distinct from the rate-arbitrage Core.</w:t>
      </w:r>
    </w:p>
    <w:p>
      <w:pPr>
        <w:pStyle w:val="BodyText"/>
      </w:pPr>
      <w:r>
        <w:t xml:space="preserve">We prove the SRC’s existence four independent ways: (1) algebraically, via the annuity-payment / present-value identity, showing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 (2) empirically under Fixed Annuity distributions, where the Outside − Inside per-year ATCF increment is $1,695.86 in all 20 distribution years, matching the prediction to the cent; (3) empirically under RMD distributions, where varying per-year PV increments sum to within 4 cents of the SRC amount over the 30-year horizon; and (4) by decomposition, showing that the realized Outside/Inside FV difference equals the SRC value.</w:t>
      </w:r>
    </w:p>
    <w:p>
      <w:pPr>
        <w:pStyle w:val="BodyText"/>
      </w:pPr>
      <w:r>
        <w:t xml:space="preserve">Prior treatments — Reichenstein &amp; Meyer (2017), McQuarrie &amp; DiLellio (2023), Vanguard’s 2025 BETR, Nalebuff/Haghani/White (2025) — recognize the wrapper migration but treat the migrated tax as a forgone cost. We formalize it as a separable asset with its own per-year cash flow and closed-form PV identity, and reconcile McQuarrie (2024)’s</w:t>
      </w:r>
      <w:r>
        <w:t xml:space="preserve"> </w:t>
      </w:r>
      <w:r>
        <w:t xml:space="preserve">“live past 97 to break even”</w:t>
      </w:r>
      <w:r>
        <w:t xml:space="preserve"> </w:t>
      </w:r>
      <w:r>
        <w:t xml:space="preserve">conclusion by incorporating the SRC into the NPV accounting.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When a Roth conversion’s tax bill is paid from outside the retirement account, after-tax dollars equal to that tax migrate from a taxable wrapper into a tax-free one, where they compound untaxed for the life of the account and any beneficiary period. We call this transfer the</w:t>
      </w:r>
      <w:r>
        <w:t xml:space="preserve"> </w:t>
      </w:r>
      <w:r>
        <w:rPr>
          <w:b/>
          <w:bCs/>
        </w:rPr>
        <w:t xml:space="preserve">Synthetic Roth Contribution</w:t>
      </w:r>
      <w:r>
        <w:t xml:space="preserve"> </w:t>
      </w:r>
      <w:r>
        <w:t xml:space="preserve">(SRC). Pay the same tax from inside the account and no such migration occurs — the Roth holds only the converted balance net of tax. The two funding paths produce materially different end-of-life wealth, and the gap is not the spread arbitrage. It is the SRC.</w:t>
      </w:r>
    </w:p>
    <w:p>
      <w:pPr>
        <w:pStyle w:val="BodyText"/>
      </w:pPr>
      <w:r>
        <w:t xml:space="preserve">The Roth-conversion literature frames value almost exclusively through the spread arbitrage between the conversion-year rate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 the time-weighted distribution rate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. Funding source is sometimes acknowledged as</w:t>
      </w:r>
      <w:r>
        <w:t xml:space="preserve"> </w:t>
      </w:r>
      <w:r>
        <w:t xml:space="preserve">“helpful”</w:t>
      </w:r>
      <w:r>
        <w:t xml:space="preserve"> </w:t>
      </w:r>
      <w:r>
        <w:t xml:space="preserve">when paid from outside, but has not been formalized as a separable economic component with its own per-year cash flow, PV, FV, and IRR identity — distinct from, and additive to, the rate-arbitrage Core. That is the gap this paper closes.</w:t>
      </w:r>
    </w:p>
    <w:p>
      <w:pPr>
        <w:pStyle w:val="BodyText"/>
      </w:pPr>
      <w:r>
        <w:t xml:space="preserve">Cheshire (2025, SSRN 5205840) introduced the SRC framework; §1B summarizes. This paper extends with formal algebraic and empirical proofs, generalizes to RMD-method distributions, and engages directly with the closest related literature.</w:t>
      </w:r>
    </w:p>
    <w:p>
      <w:pPr>
        <w:pStyle w:val="BodyText"/>
      </w:pPr>
      <w:r>
        <w:rPr>
          <w:b/>
          <w:bCs/>
        </w:rPr>
        <w:t xml:space="preserve">Contributions of this paper.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Formal definition and separable decomposition.</w:t>
      </w:r>
      <w:r>
        <w:t xml:space="preserve"> </w:t>
      </w:r>
      <w:r>
        <w:t xml:space="preserve">The SRC is defined as the conversion-tax amount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migrating from the bank account into the Roth wrapper under Outside funding, with its own PV / FV / IRR identity distinct from the rate-arbitrage Core, the Medicare-surcharge-reduction alpha, and the RMD tax-drag alpha. To our knowledge, this separable decomposition has not been published outside this framework.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Algebraic proof of the matched-rate PV identity.</w:t>
      </w:r>
      <w:r>
        <w:t xml:space="preserve"> </w:t>
      </w:r>
      <w:r>
        <w:t xml:space="preserve">When the discount rate equals the portfolio rate,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via the annuity-payment / present-value identity (§4).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Empirical validation under both Fixed Annuity and RMD distributions.</w:t>
      </w:r>
      <w:r>
        <w:t xml:space="preserve"> </w:t>
      </w:r>
      <w:r>
        <w:t xml:space="preserve">Paired Inside/Outside scenarios confirm the algebraic identity — the constant $1,695.86/year increment under FA (§5) and a per-year-varying but PV-canceling increment under RMD (§5B), closing the year-0 outflow to within 4 cents over a 30-year horizon.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Wrapper Migration Neutrality as a generalizing principle.</w:t>
      </w:r>
      <w:r>
        <w:t xml:space="preserve"> </w:t>
      </w:r>
      <w:r>
        <w:t xml:space="preserve">Pure wrapper migrations at constant household wealth impose no PV cost at the portfolio rate. The SRC is one instance of this principle (§3.5).</w:t>
      </w:r>
    </w:p>
    <w:p>
      <w:r>
        <w:pict>
          <v:rect style="width:0;height:1.5pt" o:hralign="center" o:hrstd="t" o:hr="t"/>
        </w:pict>
      </w:r>
    </w:p>
    <w:bookmarkEnd w:id="10"/>
    <w:bookmarkStart w:id="11" w:name="b.-prior-literature"/>
    <w:p>
      <w:pPr>
        <w:pStyle w:val="Heading2"/>
      </w:pPr>
      <w:r>
        <w:t xml:space="preserve">1B. Prior Literature</w:t>
      </w:r>
    </w:p>
    <w:p>
      <w:pPr>
        <w:pStyle w:val="FirstParagraph"/>
      </w:pPr>
      <w:r>
        <w:rPr>
          <w:b/>
          <w:bCs/>
        </w:rPr>
        <w:t xml:space="preserve">Reichenstein &amp; Meyer (2017)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Valuing Roth Conversion and Recharacterization Options</w:t>
      </w:r>
      <w:r>
        <w:t xml:space="preserve">, Journal of Financial Planning 30(11): 48–56 — express the value of paying conversion tax from outside funds as</w:t>
      </w:r>
      <w:r>
        <w:t xml:space="preserve"> </w:t>
      </w:r>
      <m:oMath>
        <m:r>
          <m:t>t</m:t>
        </m:r>
        <m:r>
          <m:t>V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t</m:t>
        </m:r>
        <m:r>
          <m:t>V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 where</w:t>
      </w:r>
      <w:r>
        <w:t xml:space="preserve"> </w:t>
      </w:r>
      <m:oMath>
        <m:r>
          <m:t>t</m:t>
        </m:r>
        <m:r>
          <m:t>V</m:t>
        </m:r>
      </m:oMath>
      <w:r>
        <w:t xml:space="preserve"> </w:t>
      </w:r>
      <w:r>
        <w:t xml:space="preserve">= conversion tax (</w:t>
      </w:r>
      <m:oMath>
        <m:r>
          <m:t>K</m:t>
        </m:r>
      </m:oMath>
      <w:r>
        <w:t xml:space="preserve">),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tax-free Roth return,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after-tax bank return,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horizon. They observe:</w:t>
      </w:r>
      <w:r>
        <w:t xml:space="preserve"> </w:t>
      </w:r>
      <w:r>
        <w:rPr>
          <w:i/>
          <w:iCs/>
        </w:rPr>
        <w:t xml:space="preserve">“Strategy 3 has tV more dollars growing at the pre-tax return of r in the Roth IRA.”</w:t>
      </w:r>
    </w:p>
    <w:p>
      <w:pPr>
        <w:pStyle w:val="BodyText"/>
      </w:pPr>
      <w:r>
        <w:t xml:space="preserve">That observation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SRC mechanism. The term</w:t>
      </w:r>
      <w:r>
        <w:t xml:space="preserve"> </w:t>
      </w:r>
      <m:oMath>
        <m:r>
          <m:t>t</m:t>
        </m:r>
        <m:r>
          <m:t>V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migrated tax dollars compounding tax-free in the Roth — the dominant component of outside-funded conversion value, PV =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the portfolio rate (§4). But the framework immediately nets it against the bank’s forgone growth</w:t>
      </w:r>
      <w:r>
        <w:t xml:space="preserve"> </w:t>
      </w:r>
      <m:oMath>
        <m:r>
          <m:t>t</m:t>
        </m:r>
        <m:r>
          <m:t>V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 leaving only the much smaller tax-drag residual;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the expression collapses to zero with no Outside benefit. Reichenstein &amp; Meyer report the residual — the tax-drag alpha — without recognizing the wrapper migration as a separable Roth-equivalent contribution.</w:t>
      </w:r>
    </w:p>
    <w:p>
      <w:pPr>
        <w:pStyle w:val="BodyText"/>
      </w:pPr>
      <w:r>
        <w:t xml:space="preserve">Their drag-differential expression is real and prior — not a decomposition of outside-funded conversion value, but a tax-drag alpha calculation that assumes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R</m:t>
        </m:r>
      </m:oMath>
      <w:r>
        <w:t xml:space="preserve">. The SRC framework treats it as a special case of the §6 tax-drag-avoidance alpha.</w:t>
      </w:r>
    </w:p>
    <w:p>
      <w:pPr>
        <w:pStyle w:val="BodyText"/>
      </w:pPr>
      <w:r>
        <w:rPr>
          <w:b/>
          <w:bCs/>
        </w:rPr>
        <w:t xml:space="preserve">McQuarrie &amp; DiLellio (2023)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The Arithmetic of Roth Conversions</w:t>
      </w:r>
      <w:r>
        <w:t xml:space="preserve">, Journal of Financial Planning, May 2023 — explicitly recognize the migrated tax dollars as</w:t>
      </w:r>
      <w:r>
        <w:t xml:space="preserve"> </w:t>
      </w:r>
      <w:r>
        <w:rPr>
          <w:i/>
          <w:iCs/>
        </w:rPr>
        <w:t xml:space="preserve">“the invisible, but very real, future value of the [tax] sent to the IRS,”</w:t>
      </w:r>
      <w:r>
        <w:t xml:space="preserve"> </w:t>
      </w:r>
      <w:r>
        <w:t xml:space="preserve">then subtract that grown value from the Outside Roth as a forgone cost. Year 3: $100K × 1.10³ − $25K × 1.085³ = $133,100 − $31,932 = $101,168 vs Inside’s $99,825 → $1,343 wedge (extends to $40,386 at year 20). The wedge is the tax-drag alpha. Economically, the tax payment sits in the Roth growing tax-free; M&amp;D’s math shows it only as a subtracted cost.</w:t>
      </w:r>
    </w:p>
    <w:p>
      <w:pPr>
        <w:pStyle w:val="BodyText"/>
      </w:pPr>
      <w:r>
        <w:rPr>
          <w:b/>
          <w:bCs/>
        </w:rPr>
        <w:t xml:space="preserve">Passman, Wong, &amp; Dickson (2025)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i/>
          <w:iCs/>
        </w:rPr>
        <w:t xml:space="preserve">“BETR”</w:t>
      </w:r>
      <w:r>
        <w:rPr>
          <w:i/>
          <w:iCs/>
        </w:rPr>
        <w:t xml:space="preserve"> </w:t>
      </w:r>
      <w:r>
        <w:rPr>
          <w:i/>
          <w:iCs/>
        </w:rPr>
        <w:t xml:space="preserve">Approach to Roth Conversions</w:t>
      </w:r>
      <w:r>
        <w:t xml:space="preserve">, Vanguard (July 2025) — come closest to recognizing the SRC when they observe that</w:t>
      </w:r>
      <w:r>
        <w:t xml:space="preserve"> </w:t>
      </w:r>
      <w:r>
        <w:rPr>
          <w:i/>
          <w:iCs/>
        </w:rPr>
        <w:t xml:space="preserve">“paying conversion taxes from a taxable account lets investors move some of their savings (the amount of the conversion taxes) from a taxable account to a Roth account.”</w:t>
      </w:r>
      <w:r>
        <w:t xml:space="preserve"> </w:t>
      </w:r>
      <w:r>
        <w:t xml:space="preserve">Yet they omit conversion tax from the Roth side of the convert/no-convert analysis. To make the math work, they also omit counterfactual bank cash. Jill case ($100K conversion, 35% current/24% future rate, $35K tax, Roth multiple 3, taxable multiple 2). Two framings — labeled by what each treats the SRC as — yield the same BETR:</w:t>
      </w:r>
    </w:p>
    <w:p>
      <w:pPr>
        <w:pStyle w:val="SourceCode"/>
      </w:pPr>
      <w:r>
        <w:rPr>
          <w:rStyle w:val="VerbatimChar"/>
        </w:rPr>
        <w:t xml:space="preserve">SRC as Cost (Vanguard): $230K = $300K × (1 − BETR) → 23.3%</w:t>
      </w:r>
      <w:r>
        <w:br/>
      </w:r>
      <w:r>
        <w:rPr>
          <w:rStyle w:val="VerbatimChar"/>
        </w:rPr>
        <w:t xml:space="preserve">SRC (alternative):      $300K = $300K × (1 − BETR) + $70K → 23.3%</w:t>
      </w:r>
    </w:p>
    <w:p>
      <w:pPr>
        <w:pStyle w:val="FirstParagraph"/>
      </w:pPr>
      <w:r>
        <w:t xml:space="preserve">Conversion is recommended since 24% &gt; 23.3%, despite an immediate $11,000 loss of wealth (= $100K × (35% − 24%)).</w:t>
      </w:r>
    </w:p>
    <w:p>
      <w:pPr>
        <w:pStyle w:val="BodyText"/>
      </w:pPr>
      <w:r>
        <w:t xml:space="preserve">Does Jill understand that her advisor’s assumed taxable multiple of 2 (vs Roth’s 3) implies a 37.5% annual tax rate on investment returns (§6) — implausibly high for most investors?</w:t>
      </w:r>
    </w:p>
    <w:p>
      <w:pPr>
        <w:pStyle w:val="BodyText"/>
      </w:pPr>
      <w:r>
        <w:t xml:space="preserve">Vanguard frames the tax payment as a cost rather than a migrated asset.</w:t>
      </w:r>
    </w:p>
    <w:p>
      <w:pPr>
        <w:pStyle w:val="BodyText"/>
      </w:pPr>
      <w:r>
        <w:rPr>
          <w:b/>
          <w:bCs/>
        </w:rPr>
        <w:t xml:space="preserve">Nalebuff, Haghani, &amp; White (2025)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Size Matters in the Roth IRA Conversion Decision</w:t>
      </w:r>
      <w:r>
        <w:t xml:space="preserve">, Elm Wealth (June 18, 2025) — is a practitioner article on wrapper migration. Their</w:t>
      </w:r>
      <w:r>
        <w:t xml:space="preserve"> </w:t>
      </w:r>
      <w:r>
        <w:t xml:space="preserve">“Reason 1”</w:t>
      </w:r>
      <w:r>
        <w:t xml:space="preserve"> </w:t>
      </w:r>
      <w:r>
        <w:t xml:space="preserve">frames outside-payment as</w:t>
      </w:r>
      <w:r>
        <w:t xml:space="preserve"> </w:t>
      </w:r>
      <w:r>
        <w:t xml:space="preserve">“effectively making the IRA more than 50% bigger”</w:t>
      </w:r>
      <w:r>
        <w:t xml:space="preserve"> </w:t>
      </w:r>
      <w:r>
        <w:t xml:space="preserve">and states (without derivation) a closed-form</w:t>
      </w:r>
      <w:r>
        <w:t xml:space="preserve"> </w:t>
      </w:r>
      <m:oMath>
        <m:sSub>
          <m:e>
            <m:r>
              <m:t>τ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τ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  <m:r>
          <m:rPr>
            <m:sty m:val="p"/>
          </m:rPr>
          <m:t>⋅</m:t>
        </m:r>
        <m:r>
          <m:rPr>
            <m:sty m:val="p"/>
          </m:rPr>
          <m:t>g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w</m:t>
        </m:r>
        <m:r>
          <m:rPr>
            <m:sty m:val="p"/>
          </m:rPr>
          <m:t>t</m:t>
        </m:r>
        <m:r>
          <m:rPr>
            <m:sty m:val="p"/>
          </m:rPr>
          <m:t>h</m:t>
        </m:r>
      </m:oMath>
      <w:r>
        <w:t xml:space="preserve"> </w:t>
      </w:r>
      <w:r>
        <w:t xml:space="preserve">heuristic. The framing substantively aligns with the SRC concept, but the formula collapses ordinary-income and capital-gains rates into one term and gives a single FV result rather than a year-by-year cash-flow stream with its own IRR and PV identity. The article cites no prior work on the topic. Post-dates Cheshire (2025); cited as parallel evidence the concept is being independently surfaced.</w:t>
      </w:r>
    </w:p>
    <w:p>
      <w:pPr>
        <w:pStyle w:val="BodyText"/>
      </w:pPr>
      <w:r>
        <w:rPr>
          <w:b/>
          <w:bCs/>
        </w:rPr>
        <w:t xml:space="preserve">Cheshire (2025)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Roth Conversion Valuation &amp; Mechanics</w:t>
      </w:r>
      <w:r>
        <w:t xml:space="preserve">, SSRN 5205840 (April 4, 2025) — is the immediate precursor to the present paper. It introduces the Synthetic Roth Contribution term and concept, establishes that the SRC equals the conversion tax when</w:t>
      </w:r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e>
          <m:sub>
            <m:r>
              <m:t>C</m:t>
            </m:r>
          </m:sub>
        </m:sSub>
      </m:oMath>
      <w:r>
        <w:t xml:space="preserve">, decomposes conversion-tax payback into SRC plus tax-rate arbitrage, and develops the framework for single and MFJ filers across worked examples (Appendices A–D). What that paper does not contain — and what the present paper supplies — is (a) the formal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algebraic proof of PV equivalence at the portfolio rate; (b) empirical paired-run validation against a production calculation engine to within rounding; (c) the RMD generalization showing the identity holds under non-uniform distribution paths; and (d) the separable IRR decomposition on the Outside-funded cash-flow stream. The present work is positioned as a rigorous extension, not a re-claim, of the framework introduced there.</w:t>
      </w:r>
    </w:p>
    <w:p>
      <w:pPr>
        <w:pStyle w:val="BodyText"/>
      </w:pPr>
      <w:r>
        <w:rPr>
          <w:b/>
          <w:bCs/>
        </w:rPr>
        <w:t xml:space="preserve">McQuarrie (2024)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Net Present Value Analysis of Roth Conversions</w:t>
      </w:r>
      <w:r>
        <w:t xml:space="preserve">, Journal of Financial Planning 37(7/9): 76–90. Wrapper migration at the heart of Outside-funded conversions is not separately tracked in McQuarrie’s NPV accounting: $22,000 of after-tax dollars moves from a taxable into a tax-free wrapper, compounding tax-free for the life of the account. That migration is the Synthetic Roth Contribution.</w:t>
      </w:r>
    </w:p>
    <w:p>
      <w:pPr>
        <w:pStyle w:val="BodyText"/>
      </w:pPr>
      <w:r>
        <w:t xml:space="preserve">McQuarrie’s framework offsets the tax payment against future RMD tax savings, discounted at the portfolio rate. In his 22% → 25% base case on $100K,</w:t>
      </w:r>
      <w:r>
        <w:t xml:space="preserve"> </w:t>
      </w:r>
      <w:r>
        <w:rPr>
          <w:i/>
          <w:iCs/>
        </w:rPr>
        <w:t xml:space="preserve">“$7,000 remains to be defrayed”</w:t>
      </w:r>
      <w:r>
        <w:t xml:space="preserve"> </w:t>
      </w:r>
      <w:r>
        <w:t xml:space="preserve">at life expectancy and</w:t>
      </w:r>
      <w:r>
        <w:t xml:space="preserve"> </w:t>
      </w:r>
      <w:r>
        <w:rPr>
          <w:i/>
          <w:iCs/>
        </w:rPr>
        <w:t xml:space="preserve">“$22,000 is totally cashed out”</w:t>
      </w:r>
      <w:r>
        <w:t xml:space="preserve"> </w:t>
      </w:r>
      <w:r>
        <w:t xml:space="preserve">at age 97. He concludes the $22K was</w:t>
      </w:r>
      <w:r>
        <w:t xml:space="preserve"> </w:t>
      </w:r>
      <w:r>
        <w:rPr>
          <w:i/>
          <w:iCs/>
        </w:rPr>
        <w:t xml:space="preserve">“in all but name, a loan to the government”</w:t>
      </w:r>
      <w:r>
        <w:t xml:space="preserve"> </w:t>
      </w:r>
      <w:r>
        <w:t xml:space="preserve">and that paying conversion tax from outside funds is</w:t>
      </w:r>
      <w:r>
        <w:t xml:space="preserve"> </w:t>
      </w:r>
      <w:r>
        <w:rPr>
          <w:i/>
          <w:iCs/>
        </w:rPr>
        <w:t xml:space="preserve">“not all that helpful.”</w:t>
      </w:r>
    </w:p>
    <w:p>
      <w:pPr>
        <w:pStyle w:val="BodyText"/>
      </w:pPr>
      <w:r>
        <w:t xml:space="preserve">Two considerations arise.</w:t>
      </w:r>
    </w:p>
    <w:p>
      <w:pPr>
        <w:pStyle w:val="BodyText"/>
      </w:pPr>
      <w:r>
        <w:rPr>
          <w:i/>
          <w:iCs/>
        </w:rPr>
        <w:t xml:space="preserve">First</w:t>
      </w:r>
      <w:r>
        <w:t xml:space="preserve">, the loan analogy is backwards. The IRS effectively lends the deferred tax to the investor — interest-free, for potentially decades. Under Inside funding, the IRS gets the same $22K back with no out-of-pocket cash, confirming there was never a taxpayer loan. Settling a $25K liability today repays the IRS loan while booking a $3K profit — helpful and prudent.</w:t>
      </w:r>
    </w:p>
    <w:p>
      <w:pPr>
        <w:pStyle w:val="BodyText"/>
      </w:pPr>
      <w:r>
        <w:rPr>
          <w:i/>
          <w:iCs/>
        </w:rPr>
        <w:t xml:space="preserve">Second</w:t>
      </w:r>
      <w:r>
        <w:t xml:space="preserve">, McQuarrie’s framework misses the wrapper composition. The RMD-savings stream is identical under Inside funding — his framework does not distinguish the two funding paths. The</w:t>
      </w:r>
      <w:r>
        <w:t xml:space="preserve"> </w:t>
      </w:r>
      <w:r>
        <w:rPr>
          <w:i/>
          <w:iCs/>
        </w:rPr>
        <w:t xml:space="preserve">“$22,000 paid out of pocket up front”</w:t>
      </w:r>
      <w:r>
        <w:t xml:space="preserve"> </w:t>
      </w:r>
      <w:r>
        <w:t xml:space="preserve">he calls a loan actually sits in the Roth. The NPV = 0 result obscures this wrapper migration.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Trad (pre-tax)</w:t>
            </w:r>
          </w:p>
        </w:tc>
        <w:tc>
          <w:tcPr/>
          <w:p>
            <w:pPr>
              <w:pStyle w:val="Compact"/>
            </w:pPr>
            <w:r>
              <w:t xml:space="preserve">Roth (tax-free)</w:t>
            </w:r>
          </w:p>
        </w:tc>
        <w:tc>
          <w:tcPr/>
          <w:p>
            <w:pPr>
              <w:pStyle w:val="Compact"/>
            </w:pPr>
            <w:r>
              <w:t xml:space="preserve">Bank (after-tax)</w:t>
            </w:r>
          </w:p>
        </w:tc>
        <w:tc>
          <w:tcPr/>
          <w:p>
            <w:pPr>
              <w:pStyle w:val="Compact"/>
            </w:pPr>
            <w:r>
              <w:t xml:space="preserve">Total after-tax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Pre-conversion</w:t>
            </w:r>
          </w:p>
        </w:tc>
        <w:tc>
          <w:tcPr/>
          <w:p>
            <w:pPr>
              <w:pStyle w:val="Compact"/>
            </w:pPr>
            <w:r>
              <w:t xml:space="preserve">$100K ($75K AT)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$22K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$97K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Outside payment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$100K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$100K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Inside payment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$78K</w:t>
            </w:r>
          </w:p>
        </w:tc>
        <w:tc>
          <w:tcPr/>
          <w:p>
            <w:pPr>
              <w:pStyle w:val="Compact"/>
            </w:pPr>
            <w:r>
              <w:t xml:space="preserve">$22K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$100K</w:t>
            </w:r>
          </w:p>
        </w:tc>
      </w:tr>
    </w:tbl>
    <w:p>
      <w:pPr>
        <w:pStyle w:val="BodyText"/>
      </w:pPr>
      <w:r>
        <w:t xml:space="preserve">Outside and Inside create identical wealth but Outside puts $22K more in the Roth wrapper. McQuarrie’s analysis runs off the $100K Traditional balance and does not track the post-conversion Roth separately, so this $22K cannot appear in his calculation. The matched-rate PV identity of §4 explains why his discounted RMD savings come up exactly $22K short: Table 1 Column 8 — tax-at-22% on each RMD, discounted at his 6% portfolio rate — sums to $22K, equal to the tax payment. McQuarrie published the column and computed Col 7 − Col 8 (the $3K Core), treating the $22K as a cost. Col 9 itself encodes the decomposition: −$22K (SRC) at start, +$3K (Core) at end — separated by $25K = PV(Col 7). The matching $22K asset — sitting in the Roth — remains outside the calculation.</w:t>
      </w:r>
    </w:p>
    <w:p>
      <w:pPr>
        <w:pStyle w:val="BodyText"/>
      </w:pPr>
      <w:r>
        <w:t xml:space="preserve">Further considerations.</w:t>
      </w:r>
    </w:p>
    <w:p>
      <w:pPr>
        <w:pStyle w:val="BodyText"/>
      </w:pPr>
      <w:r>
        <w:rPr>
          <w:i/>
          <w:iCs/>
        </w:rPr>
        <w:t xml:space="preserve">First</w:t>
      </w:r>
      <w:r>
        <w:t xml:space="preserve">, conversion NPV is a positive or negative number, locked in at year 0. McQuarrie’s Col 9, labeled</w:t>
      </w:r>
      <w:r>
        <w:t xml:space="preserve"> </w:t>
      </w:r>
      <w:r>
        <w:t xml:space="preserve">“NPV-to-This-Point,”</w:t>
      </w:r>
      <w:r>
        <w:t xml:space="preserve"> </w:t>
      </w:r>
      <w:r>
        <w:t xml:space="preserve">runs from −$22K at year 0 to +$3K at distribution end — as if NPV accrues over time. But NPV is a year-0 scalar by definition; the decision was settled at conversion. Time only unfolds the consequences.</w:t>
      </w:r>
    </w:p>
    <w:p>
      <w:pPr>
        <w:pStyle w:val="BodyText"/>
      </w:pPr>
      <w:r>
        <w:rPr>
          <w:i/>
          <w:iCs/>
        </w:rPr>
        <w:t xml:space="preserve">Second</w:t>
      </w:r>
      <w:r>
        <w:t xml:space="preserve">, the</w:t>
      </w:r>
      <w:r>
        <w:t xml:space="preserve"> </w:t>
      </w:r>
      <w:r>
        <w:t xml:space="preserve">“not all that helpful”</w:t>
      </w:r>
      <w:r>
        <w:t xml:space="preserve"> </w:t>
      </w:r>
      <w:r>
        <w:t xml:space="preserve">conclusion is antithetical to the widely accepted desirability of moving dollars into a tax-free wrapper. The benefit holds even absent any rate-spread profit — applying equally to statutory Roth contributions and the Synthetic Roth Contribution.</w:t>
      </w:r>
    </w:p>
    <w:p>
      <w:pPr>
        <w:pStyle w:val="BodyText"/>
      </w:pPr>
      <w:r>
        <w:rPr>
          <w:b/>
          <w:bCs/>
        </w:rPr>
        <w:t xml:space="preserve">Other practitioner literature</w:t>
      </w:r>
      <w:r>
        <w:t xml:space="preserve"> </w:t>
      </w:r>
      <w:r>
        <w:t xml:space="preserve">— Kitces, Slott, Pfau, the Bogleheads NPV threads, and major brokerage research — advises paying conversion tax from outside funds when feasible but never separates the value as a standalone PV / FV / IRR bucket or states the PV identity. Stowe, Fodor, and Stowe (2013) —</w:t>
      </w:r>
      <w:r>
        <w:t xml:space="preserve"> </w:t>
      </w:r>
      <w:r>
        <w:rPr>
          <w:i/>
          <w:iCs/>
        </w:rPr>
        <w:t xml:space="preserve">Financial Analysts Journal</w:t>
      </w:r>
      <w:r>
        <w:t xml:space="preserve"> </w:t>
      </w:r>
      <w:r>
        <w:t xml:space="preserve">— note in their now-defunct recharacterization-option analysis that outside-funded tax raises terminal value by ~3 percentage points, but treat it as a parameter sensitivity. The formal decomposition is absent from this body of work.</w:t>
      </w:r>
    </w:p>
    <w:p>
      <w:r>
        <w:pict>
          <v:rect style="width:0;height:1.5pt" o:hralign="center" o:hrstd="t" o:hr="t"/>
        </w:pict>
      </w:r>
    </w:p>
    <w:bookmarkEnd w:id="11"/>
    <w:bookmarkStart w:id="12" w:name="notation-and-setup"/>
    <w:p>
      <w:pPr>
        <w:pStyle w:val="Heading2"/>
      </w:pPr>
      <w:r>
        <w:t xml:space="preserve">2. Notation and Setup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Pre-tax dollars converted from Traditional to Roth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t_C</w:t>
            </w:r>
          </w:p>
        </w:tc>
        <w:tc>
          <w:tcPr/>
          <w:p>
            <w:pPr>
              <w:pStyle w:val="Compact"/>
            </w:pPr>
            <w:r>
              <w:t xml:space="preserve">Effective marginal conversion-year tax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Federal tax owed on the conversion</w:t>
            </w:r>
            <w:r>
              <w:t xml:space="preserve"> </w:t>
            </w:r>
            <w:r>
              <w:rPr>
                <w:i/>
                <w:iCs/>
              </w:rPr>
              <w:t xml:space="preserve">= C · t_C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t_D</w:t>
            </w:r>
          </w:p>
        </w:tc>
        <w:tc>
          <w:tcPr/>
          <w:p>
            <w:pPr>
              <w:pStyle w:val="Compact"/>
            </w:pPr>
            <w:r>
              <w:t xml:space="preserve">Time-weighted marginal distribution tax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Portfolio return assumption (used for compounding and as discount rate)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r_d</w:t>
            </w:r>
          </w:p>
        </w:tc>
        <w:tc>
          <w:tcPr/>
          <w:p>
            <w:pPr>
              <w:pStyle w:val="Compact"/>
            </w:pPr>
            <w:r>
              <w:t xml:space="preserve">Effective return rate on a taxable account, after tax drag;</w:t>
            </w:r>
            <w:r>
              <w:t xml:space="preserve"> </w:t>
            </w:r>
            <w:r>
              <w:rPr>
                <w:i/>
                <w:iCs/>
              </w:rPr>
              <w:t xml:space="preserve">r_d = r · (1 - 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Annual drag fraction on a taxable account’s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Distribution period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AF(r, N)</w:t>
            </w:r>
          </w:p>
        </w:tc>
        <w:tc>
          <w:tcPr/>
          <w:p>
            <w:pPr>
              <w:pStyle w:val="Compact"/>
            </w:pPr>
            <w:r>
              <w:t xml:space="preserve">Annuity-payment factor at rate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years;</w:t>
            </w:r>
            <w:r>
              <w:t xml:space="preserve"> </w:t>
            </w:r>
            <w:r>
              <w:rPr>
                <w:i/>
                <w:iCs/>
              </w:rPr>
              <w:t xml:space="preserve">AF(r, N) = r / (1 - (1 + r)^{-N})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PVA(r, N)</w:t>
            </w:r>
          </w:p>
        </w:tc>
        <w:tc>
          <w:tcPr/>
          <w:p>
            <w:pPr>
              <w:pStyle w:val="Compact"/>
            </w:pPr>
            <w:r>
              <w:t xml:space="preserve">Present-value annuity factor;</w:t>
            </w:r>
            <w:r>
              <w:t xml:space="preserve"> </w:t>
            </w:r>
            <w:r>
              <w:rPr>
                <w:i/>
                <w:iCs/>
              </w:rPr>
              <w:t xml:space="preserve">PVA(r, N) = (1 - (1 + r)^{-N}) / r = 1 / AF(r,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ATCF</w:t>
            </w:r>
          </w:p>
        </w:tc>
        <w:tc>
          <w:tcPr/>
          <w:p>
            <w:pPr>
              <w:pStyle w:val="Compact"/>
            </w:pPr>
            <w:r>
              <w:t xml:space="preserve">After-tax cash flow from retirement-account distributions: Traditional distribution + Roth distribution − Federal tax (includes Soc Sec tax). ΔATCF = year-by-year ATCF difference between conversion and no-conversion baseline.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 scenarios: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Inside funding:</w:t>
      </w:r>
      <w:r>
        <w:t xml:space="preserve"> </w:t>
      </w:r>
      <w:r>
        <w:t xml:space="preserve">Tax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settled from inside the Traditional account (a separate pre-tax distribution in the conversion year). The Roth receives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K</m:t>
        </m:r>
      </m:oMath>
      <w:r>
        <w:t xml:space="preserve">. No taxable-account dollars are spent.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Outside funding:</w:t>
      </w:r>
      <w:r>
        <w:t xml:space="preserve"> </w:t>
      </w:r>
      <w:r>
        <w:t xml:space="preserve">Tax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settled from a taxable account in the conversion year. The Roth receives the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converted amount plus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tax payment.</w:t>
      </w:r>
    </w:p>
    <w:p>
      <w:pPr>
        <w:pStyle w:val="FirstParagraph"/>
      </w:pPr>
      <w:r>
        <w:t xml:space="preserve">In both scenarios the Traditional balance is reduced by</w:t>
      </w:r>
      <w:r>
        <w:t xml:space="preserve"> </w:t>
      </w:r>
      <m:oMath>
        <m:r>
          <m:t>C</m:t>
        </m:r>
      </m:oMath>
      <w:r>
        <w:t xml:space="preserve">. The two paths differ only in the source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tax payment: a separate inside-the-Traditional pre-tax distribution (Inside funding) or a Bank account distribution (Outside funding).</w:t>
      </w:r>
    </w:p>
    <w:p>
      <w:r>
        <w:pict>
          <v:rect style="width:0;height:1.5pt" o:hralign="center" o:hrstd="t" o:hr="t"/>
        </w:pict>
      </w:r>
    </w:p>
    <w:bookmarkEnd w:id="12"/>
    <w:bookmarkStart w:id="21" w:name="the-synthetic-roth-contribution"/>
    <w:p>
      <w:pPr>
        <w:pStyle w:val="Heading2"/>
      </w:pPr>
      <w:r>
        <w:t xml:space="preserve">3. The Synthetic Roth Contribution</w:t>
      </w:r>
    </w:p>
    <w:bookmarkStart w:id="13" w:name="the-balance-sheet-view"/>
    <w:p>
      <w:pPr>
        <w:pStyle w:val="Heading3"/>
      </w:pPr>
      <w:r>
        <w:t xml:space="preserve">3.1 The Balance-Sheet View</w:t>
      </w:r>
    </w:p>
    <w:p>
      <w:pPr>
        <w:pStyle w:val="FirstParagraph"/>
      </w:pPr>
      <w:r>
        <w:t xml:space="preserve">A Traditional retirement account is conventionally reported as a gross pre-tax balance. This presentation obscures the underlying economic structure: every dollar in a Traditional account carries an</w:t>
      </w:r>
      <w:r>
        <w:t xml:space="preserve"> </w:t>
      </w:r>
      <w:r>
        <w:rPr>
          <w:b/>
          <w:bCs/>
        </w:rPr>
        <w:t xml:space="preserve">embedded deferred-tax liability</w:t>
      </w:r>
      <w:r>
        <w:t xml:space="preserve"> </w:t>
      </w:r>
      <w:r>
        <w:t xml:space="preserve">to the tax authority, owed at whatever marginal rate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applies when that dollar is eventually distributed. The Traditional account’s</w:t>
      </w:r>
      <w:r>
        <w:t xml:space="preserve"> </w:t>
      </w:r>
      <w:r>
        <w:rPr>
          <w:i/>
          <w:iCs/>
        </w:rPr>
        <w:t xml:space="preserve">net economic value</w:t>
      </w:r>
      <w:r>
        <w:t xml:space="preserve"> </w:t>
      </w:r>
      <w:r>
        <w:t xml:space="preserve">to the household is the gross balance minus the liability.</w:t>
      </w:r>
    </w:p>
    <w:p>
      <w:pPr>
        <w:pStyle w:val="BodyText"/>
      </w:pPr>
      <w:r>
        <w:t xml:space="preserve">For a $100,000 Traditional balance at an expected future distribution rate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Gross</w:t>
            </w:r>
          </w:p>
        </w:tc>
        <w:tc>
          <w:tcPr/>
          <w:p>
            <w:pPr>
              <w:pStyle w:val="Compact"/>
            </w:pPr>
            <w:r>
              <w:t xml:space="preserve">Embedded liability</w:t>
            </w:r>
          </w:p>
        </w:tc>
        <w:tc>
          <w:tcPr/>
          <w:p>
            <w:pPr>
              <w:pStyle w:val="Compact"/>
            </w:pPr>
            <w:r>
              <w:t xml:space="preserve">Net after-tax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Traditional</w:t>
            </w:r>
          </w:p>
        </w:tc>
        <w:tc>
          <w:tcPr/>
          <w:p>
            <w:pPr>
              <w:pStyle w:val="Compact"/>
            </w:pPr>
            <w:r>
              <w:t xml:space="preserve">$100,000</w:t>
            </w:r>
          </w:p>
        </w:tc>
        <w:tc>
          <w:tcPr/>
          <w:p>
            <w:pPr>
              <w:pStyle w:val="Compact"/>
            </w:pPr>
            <w:r>
              <w:t xml:space="preserve">$25,000</w:t>
            </w:r>
          </w:p>
        </w:tc>
        <w:tc>
          <w:tcPr/>
          <w:p>
            <w:pPr>
              <w:pStyle w:val="Compact"/>
            </w:pPr>
            <w:r>
              <w:t xml:space="preserve">$75,000</w:t>
            </w:r>
          </w:p>
        </w:tc>
      </w:tr>
    </w:tbl>
    <w:p>
      <w:pPr>
        <w:pStyle w:val="BodyText"/>
      </w:pPr>
      <w:r>
        <w:t xml:space="preserve">Suppose the household additionally holds $22,000 of after-tax cash in a Bank account, earmarked to settle the deferred tax liability when it eventually comes due — the after-tax reserve set aside against the tax bill. The broader balance sheet at the conversion-readiness moment is then: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Pre-tax</w:t>
            </w:r>
          </w:p>
        </w:tc>
        <w:tc>
          <w:tcPr/>
          <w:p>
            <w:pPr>
              <w:pStyle w:val="Compact"/>
            </w:pPr>
            <w:r>
              <w:t xml:space="preserve">After-tax (net of liability)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</w:t>
            </w:r>
          </w:p>
        </w:tc>
        <w:tc>
          <w:tcPr/>
          <w:p>
            <w:pPr>
              <w:pStyle w:val="Compact"/>
            </w:pPr>
            <w:r>
              <w:t xml:space="preserve">$100,000</w:t>
            </w:r>
          </w:p>
        </w:tc>
        <w:tc>
          <w:tcPr/>
          <w:p>
            <w:pPr>
              <w:pStyle w:val="Compact"/>
            </w:pPr>
            <w:r>
              <w:t xml:space="preserve">$75,000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 (after-tax cash, liability offset)</w:t>
            </w:r>
          </w:p>
        </w:tc>
        <w:tc>
          <w:tcPr/>
          <w:p>
            <w:pPr>
              <w:pStyle w:val="Compact"/>
            </w:pPr>
            <w:r>
              <w:t xml:space="preserve">$22,000</w:t>
            </w:r>
          </w:p>
        </w:tc>
        <w:tc>
          <w:tcPr/>
          <w:p>
            <w:pPr>
              <w:pStyle w:val="Compact"/>
            </w:pPr>
            <w:r>
              <w:t xml:space="preserve">$22,000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net after-tax wealth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$97,000</w:t>
            </w:r>
          </w:p>
        </w:tc>
      </w:tr>
    </w:tbl>
    <w:p>
      <w:pPr>
        <w:pStyle w:val="BodyText"/>
      </w:pPr>
      <w:r>
        <w:t xml:space="preserve">The $22,000 Bank holding is a</w:t>
      </w:r>
      <w:r>
        <w:t xml:space="preserve"> </w:t>
      </w:r>
      <w:r>
        <w:rPr>
          <w:i/>
          <w:iCs/>
        </w:rPr>
        <w:t xml:space="preserve">liability offset</w:t>
      </w:r>
      <w:r>
        <w:t xml:space="preserve">: a pre-funded reserve against the deferred tax that will eventually be owed on the Traditional balance.</w:t>
      </w:r>
    </w:p>
    <w:bookmarkEnd w:id="13"/>
    <w:bookmarkStart w:id="14" w:name="conversion-as-liability-settlement"/>
    <w:p>
      <w:pPr>
        <w:pStyle w:val="Heading3"/>
      </w:pPr>
      <w:r>
        <w:t xml:space="preserve">3.2 Conversion as Liability Settlement</w:t>
      </w:r>
    </w:p>
    <w:p>
      <w:pPr>
        <w:pStyle w:val="FirstParagraph"/>
      </w:pPr>
      <w:r>
        <w:t xml:space="preserve">A Roth conversion at conversion-year marginal rate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%</m:t>
        </m:r>
      </m:oMath>
      <w:r>
        <w:t xml:space="preserve"> </w:t>
      </w:r>
      <w:r>
        <w:rPr>
          <w:i/>
          <w:iCs/>
        </w:rPr>
        <w:t xml:space="preserve">extinguishes</w:t>
      </w:r>
      <w:r>
        <w:t xml:space="preserve"> </w:t>
      </w:r>
      <w:r>
        <w:t xml:space="preserve">the embedded deferred tax liability by paying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r>
          <m:t>C</m:t>
        </m:r>
      </m:oMath>
      <w:r>
        <w:t xml:space="preserve"> </w:t>
      </w:r>
      <w:r>
        <w:t xml:space="preserve">= $22,000 to the tax authority immediately. The household then holds the converted balance in the Roth wrapper, which carries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embedded deferred tax liability — every Roth dollar is fully owned, after-tax, and tax-free in distribution.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%</m:t>
        </m:r>
      </m:oMath>
      <w:r>
        <w:t xml:space="preserve"> </w:t>
      </w:r>
      <w:r>
        <w:t xml:space="preserve">is less than the assumed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t xml:space="preserve">, the $22,000 immediate settlement extinguishes a $25,000 liability. The household captures the $3,000 difference as a balance-sheet gain — the rate-arbitrage Core of the conversion’s NPV.</w:t>
      </w:r>
    </w:p>
    <w:p>
      <w:pPr>
        <w:pStyle w:val="BodyText"/>
      </w:pPr>
      <w:r>
        <w:t xml:space="preserve">The conversion tax is therefore not an</w:t>
      </w:r>
      <w:r>
        <w:t xml:space="preserve"> </w:t>
      </w:r>
      <w:r>
        <w:rPr>
          <w:i/>
          <w:iCs/>
        </w:rPr>
        <w:t xml:space="preserve">expense</w:t>
      </w:r>
      <w:r>
        <w:t xml:space="preserve">; it is a</w:t>
      </w:r>
      <w:r>
        <w:t xml:space="preserve"> </w:t>
      </w:r>
      <w:r>
        <w:rPr>
          <w:i/>
          <w:iCs/>
        </w:rPr>
        <w:t xml:space="preserve">settlement of a pre-existing liability</w:t>
      </w:r>
      <w:r>
        <w:t xml:space="preserve"> </w:t>
      </w:r>
      <w:r>
        <w:t xml:space="preserve">at a discount to the liability’s expected face value. This distinction is structural and load-bearing for everything that follows.</w:t>
      </w:r>
    </w:p>
    <w:bookmarkEnd w:id="14"/>
    <w:bookmarkStart w:id="15" w:name="two-tax-settlement-options"/>
    <w:p>
      <w:pPr>
        <w:pStyle w:val="Heading3"/>
      </w:pPr>
      <w:r>
        <w:t xml:space="preserve">3.3 Two Tax Settlement Options</w:t>
      </w:r>
    </w:p>
    <w:p>
      <w:pPr>
        <w:pStyle w:val="FirstParagraph"/>
      </w:pPr>
      <w:r>
        <w:t xml:space="preserve">The $22,000 settlement can be sourced two ways:</w:t>
      </w:r>
    </w:p>
    <w:p>
      <w:pPr>
        <w:pStyle w:val="BodyText"/>
      </w:pPr>
      <w:r>
        <w:rPr>
          <w:b/>
          <w:bCs/>
        </w:rPr>
        <w:t xml:space="preserve">Option A — Inside funding.</w:t>
      </w:r>
      <w:r>
        <w:t xml:space="preserve"> </w:t>
      </w:r>
      <w:r>
        <w:t xml:space="preserve">The settlement is paid from inside the Traditional account. The Traditional gross is reduced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= $100,000: $78,000 of converted principal moves to Roth (the Traditional conversion amount net of the distributed conversion tax amount), and the $22,000 distribution is paid to the IRS. The $22,000 bank account asset is untouched.</w:t>
      </w:r>
    </w:p>
    <w:p>
      <w:pPr>
        <w:pStyle w:val="BodyText"/>
      </w:pPr>
      <w:r>
        <w:rPr>
          <w:b/>
          <w:bCs/>
        </w:rPr>
        <w:t xml:space="preserve">Option B — Outside funding.</w:t>
      </w:r>
      <w:r>
        <w:t xml:space="preserve"> </w:t>
      </w:r>
      <w:r>
        <w:t xml:space="preserve">The settlement is paid from the bank account. The Traditional gross is reduced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= $100,000: the $78,000 converted principal and the $22,000 paid to the IRS from the bank account together leave $100,000 in the Roth and $0 in the bank account.</w:t>
      </w:r>
    </w:p>
    <w:p>
      <w:pPr>
        <w:pStyle w:val="BodyText"/>
      </w:pPr>
      <w:r>
        <w:t xml:space="preserve">Both options settle the same deferred-tax liability and capture the same $3,000 rate-arbitrage gain, leaving the same $100,000 total household wealth: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Roth (tax-free)</w:t>
            </w:r>
          </w:p>
        </w:tc>
        <w:tc>
          <w:tcPr/>
          <w:p>
            <w:pPr>
              <w:pStyle w:val="Compact"/>
            </w:pPr>
            <w:r>
              <w:t xml:space="preserve">Bank (after-tax)</w:t>
            </w:r>
          </w:p>
        </w:tc>
        <w:tc>
          <w:tcPr/>
          <w:p>
            <w:pPr>
              <w:pStyle w:val="Compact"/>
            </w:pPr>
            <w:r>
              <w:t xml:space="preserve">Total net after-tax wealth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Inside payment</w:t>
            </w:r>
          </w:p>
        </w:tc>
        <w:tc>
          <w:tcPr/>
          <w:p>
            <w:pPr>
              <w:pStyle w:val="Compact"/>
            </w:pPr>
            <w:r>
              <w:t xml:space="preserve">$78,000</w:t>
            </w:r>
          </w:p>
        </w:tc>
        <w:tc>
          <w:tcPr/>
          <w:p>
            <w:pPr>
              <w:pStyle w:val="Compact"/>
            </w:pPr>
            <w:r>
              <w:t xml:space="preserve">$22,000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Outside payment</w:t>
            </w:r>
          </w:p>
        </w:tc>
        <w:tc>
          <w:tcPr/>
          <w:p>
            <w:pPr>
              <w:pStyle w:val="Compact"/>
            </w:pPr>
            <w:r>
              <w:t xml:space="preserve">$100,000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$100,000</w:t>
            </w:r>
          </w:p>
        </w:tc>
      </w:tr>
    </w:tbl>
    <w:p>
      <w:pPr>
        <w:pStyle w:val="BodyText"/>
      </w:pPr>
      <w:r>
        <w:t xml:space="preserve">The $22,000 Outside/Inside</w:t>
      </w:r>
      <w:r>
        <w:t xml:space="preserve"> </w:t>
      </w:r>
      <w:r>
        <w:rPr>
          <w:b/>
          <w:bCs/>
        </w:rPr>
        <w:t xml:space="preserve">wrapper-composition</w:t>
      </w:r>
      <w:r>
        <w:t xml:space="preserve"> </w:t>
      </w:r>
      <w:r>
        <w:t xml:space="preserve">difference — $22,000 more in Roth, $22,000 less in Bank, identical total after-tax wealth —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Synthetic Roth Contribution. Outside payment has not</w:t>
      </w:r>
      <w:r>
        <w:t xml:space="preserve"> </w:t>
      </w:r>
      <w:r>
        <w:t xml:space="preserve">“cost”</w:t>
      </w:r>
      <w:r>
        <w:t xml:space="preserve"> </w:t>
      </w:r>
      <w:r>
        <w:t xml:space="preserve">the household $22,000; it has</w:t>
      </w:r>
      <w:r>
        <w:t xml:space="preserve"> </w:t>
      </w:r>
      <w:r>
        <w:rPr>
          <w:i/>
          <w:iCs/>
        </w:rPr>
        <w:t xml:space="preserve">moved</w:t>
      </w:r>
      <w:r>
        <w:t xml:space="preserve"> </w:t>
      </w:r>
      <w:r>
        <w:t xml:space="preserve">$22,000 of after-tax cash from a taxable bank account into a tax-free Roth.</w:t>
      </w:r>
    </w:p>
    <w:bookmarkEnd w:id="15"/>
    <w:bookmarkStart w:id="16" w:name="symmetry-to-statutory-roth-contributions"/>
    <w:p>
      <w:pPr>
        <w:pStyle w:val="Heading3"/>
      </w:pPr>
      <w:r>
        <w:t xml:space="preserve">3.4 Symmetry to Statutory Roth Contributions</w:t>
      </w:r>
    </w:p>
    <w:p>
      <w:pPr>
        <w:pStyle w:val="FirstParagraph"/>
      </w:pPr>
      <w:r>
        <w:t xml:space="preserve">The SRC</w:t>
      </w:r>
      <w:r>
        <w:t xml:space="preserve"> </w:t>
      </w:r>
      <w:r>
        <w:t xml:space="preserve">“no cost”</w:t>
      </w:r>
      <w:r>
        <w:t xml:space="preserve"> </w:t>
      </w:r>
      <w:r>
        <w:t xml:space="preserve">framing has a structural analogue in the statutory Roth contribution.</w:t>
      </w:r>
    </w:p>
    <w:p>
      <w:pPr>
        <w:pStyle w:val="BodyText"/>
      </w:pPr>
      <w:r>
        <w:t xml:space="preserve">A household that contributes $22,000 to a Roth 401(k) performs an explicit wrapper migration: $22,000 of after-tax cash that was in a bank wrapper now sits in a Roth wrapper. The income tax originally paid on the earnings that produced the $22,000 is universally not considered a</w:t>
      </w:r>
      <w:r>
        <w:t xml:space="preserve"> </w:t>
      </w:r>
      <w:r>
        <w:t xml:space="preserve">“cost of the Roth contribution”</w:t>
      </w:r>
      <w:r>
        <w:t xml:space="preserve"> </w:t>
      </w:r>
      <w:r>
        <w:t xml:space="preserve">— it is the income tax that was always owed on those earnings.</w:t>
      </w:r>
    </w:p>
    <w:p>
      <w:pPr>
        <w:pStyle w:val="BodyText"/>
      </w:pPr>
      <w:r>
        <w:t xml:space="preserve">The SRC is the same wrapper migration, performed implicitly via the Outside-tax payment. The tax paid to settle the deferred Traditional liability is not a</w:t>
      </w:r>
      <w:r>
        <w:t xml:space="preserve"> </w:t>
      </w:r>
      <w:r>
        <w:t xml:space="preserve">“conversion cost”</w:t>
      </w:r>
      <w:r>
        <w:t xml:space="preserve"> </w:t>
      </w:r>
      <w:r>
        <w:t xml:space="preserve">any more than the income tax paid on W-2 earnings is a</w:t>
      </w:r>
      <w:r>
        <w:t xml:space="preserve"> </w:t>
      </w:r>
      <w:r>
        <w:t xml:space="preserve">“Roth contribution cost.”</w:t>
      </w:r>
      <w:r>
        <w:t xml:space="preserve"> </w:t>
      </w:r>
      <w:r>
        <w:t xml:space="preserve">Both settle tax obligations that were always owed; both leave after-tax wealth unchanged at the wrapper-migration moment; both produce the same tax-free compounding of the migrated dollars and the same inherited-Roth treatment for beneficiaries.</w:t>
      </w:r>
    </w:p>
    <w:p>
      <w:pPr>
        <w:pStyle w:val="BodyText"/>
      </w:pPr>
      <w:r>
        <w:t xml:space="preserve">If the liquidity-surrender of moving after-tax cash into a Roth wrapper is not considered a cost of a statutory contribution — and universally it is not — then it cannot be considered a cost of the SRC either. The two differ only in when the income-tax obligation is settled — at earning time (statutory contribution) or at conversion time (SRC). The economic structure is identical.</w:t>
      </w:r>
    </w:p>
    <w:bookmarkEnd w:id="16"/>
    <w:bookmarkStart w:id="17" w:name="wrapper-migration-neutrality"/>
    <w:p>
      <w:pPr>
        <w:pStyle w:val="Heading3"/>
      </w:pPr>
      <w:r>
        <w:t xml:space="preserve">3.5 Wrapper Migration Neutrality</w:t>
      </w:r>
    </w:p>
    <w:p>
      <w:pPr>
        <w:pStyle w:val="FirstParagraph"/>
      </w:pPr>
      <w:r>
        <w:t xml:space="preserve">The pattern in §3.3 and §3.4 generalizes:</w:t>
      </w:r>
    </w:p>
    <w:p>
      <w:pPr>
        <w:pStyle w:val="BodyText"/>
      </w:pPr>
      <w:r>
        <w:rPr>
          <w:b/>
          <w:bCs/>
        </w:rPr>
        <w:t xml:space="preserve">Wrapper Migration Neutrality</w:t>
      </w:r>
      <w:r>
        <w:t xml:space="preserve">: any transaction altering tax-wrapper composition without changing contemporaneous after-tax wealth imposes no cost — it is reallocation, not expense.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statutory Roth contribution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dollars moves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after-tax cash from the bank wrapper to the Roth wrapper.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Outside-funded Roth conversion</w:t>
      </w:r>
      <w:r>
        <w:t xml:space="preserve"> </w:t>
      </w:r>
      <w:r>
        <w:t xml:space="preserve">moves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after-tax dollars from the bank wrapper to the Roth wrapper (implicitly, via the conversion-tax payment), in addition to the rate-arbitrage on converted principal.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taxable-to-HSA migration</w:t>
      </w:r>
      <w:r>
        <w:t xml:space="preserve"> </w:t>
      </w:r>
      <w:r>
        <w:t xml:space="preserve">moves after-tax dollars from a bank wrapper into a triple-tax-advantaged HSA wrapper.</w:t>
      </w:r>
    </w:p>
    <w:p>
      <w:pPr>
        <w:pStyle w:val="FirstParagraph"/>
      </w:pPr>
      <w:r>
        <w:t xml:space="preserve">Each is identical at the migration moment: after-tax wealth conserved, only wrapper composition changes. Future value emerges through the source/destination drag differential, but migration itself imposes no cost.</w:t>
      </w:r>
    </w:p>
    <w:bookmarkEnd w:id="17"/>
    <w:bookmarkStart w:id="18" w:name="definition"/>
    <w:p>
      <w:pPr>
        <w:pStyle w:val="Heading3"/>
      </w:pPr>
      <w:r>
        <w:t xml:space="preserve">3.6 Definition</w:t>
      </w:r>
    </w:p>
    <w:p>
      <w:pPr>
        <w:pStyle w:val="FirstParagraph"/>
      </w:pPr>
      <w:r>
        <w:t xml:space="preserve">The Synthetic Roth Contribution (SRC) is the conversion-tax amount (</w:t>
      </w:r>
      <m:oMath>
        <m:r>
          <m:t>K</m:t>
        </m:r>
      </m:oMath>
      <w:r>
        <w:t xml:space="preserve">) that migrates from the bank account into the Roth wrapper via the conversion-tax payment in an Outside-funded conversion. It is economically equivalent to a same-day statutory Roth contribution of</w:t>
      </w:r>
      <w:r>
        <w:t xml:space="preserve"> </w:t>
      </w:r>
      <m:oMath>
        <m:r>
          <m:t>K</m:t>
        </m:r>
      </m:oMath>
      <w:r>
        <w:t xml:space="preserve">, but is not subject to IRS annual contribution limits.</w:t>
      </w:r>
    </w:p>
    <w:bookmarkEnd w:id="18"/>
    <w:bookmarkStart w:id="19" w:name="properties"/>
    <w:p>
      <w:pPr>
        <w:pStyle w:val="Heading3"/>
      </w:pPr>
      <w:r>
        <w:t xml:space="preserve">3.7 Properties</w:t>
      </w:r>
    </w:p>
    <w:p>
      <w:pPr>
        <w:pStyle w:val="FirstParagraph"/>
      </w:pPr>
      <w:r>
        <w:rPr>
          <w:b/>
          <w:bCs/>
        </w:rPr>
        <w:t xml:space="preserve">Property 1 — Wrapper transition.</w:t>
      </w:r>
      <w:r>
        <w:t xml:space="preserve"> </w:t>
      </w:r>
      <w:r>
        <w:t xml:space="preserve">Under Outside funding, the household ends the conversion year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fewer dollars in the taxable wrapper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more dollars (relative to the Inside scenario) in the Roth wrapper.</w:t>
      </w:r>
    </w:p>
    <w:p>
      <w:pPr>
        <w:pStyle w:val="BodyText"/>
      </w:pPr>
      <w:r>
        <w:rPr>
          <w:b/>
          <w:bCs/>
        </w:rPr>
        <w:t xml:space="preserve">Property 2 — Tax-drag elimination.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dollars now grow at the Roth’s tax-free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rather than the taxable wrapper’s after-drag rate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t xml:space="preserve">. This benefit is approximately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 year if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cash would have remained invested at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.</w:t>
      </w:r>
    </w:p>
    <w:bookmarkEnd w:id="19"/>
    <w:bookmarkStart w:id="20" w:name="what-the-src-is-not"/>
    <w:p>
      <w:pPr>
        <w:pStyle w:val="Heading3"/>
      </w:pPr>
      <w:r>
        <w:t xml:space="preserve">3.8 What the SRC Is Not</w:t>
      </w:r>
    </w:p>
    <w:p>
      <w:pPr>
        <w:pStyle w:val="FirstParagraph"/>
      </w:pPr>
      <w:r>
        <w:t xml:space="preserve">The SRC is not the rate-arbitrage,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</m:oMath>
      <w:r>
        <w:t xml:space="preserve">, captured at conversion — present in both Outside and Inside settlement. The SRC appears only under Outside settlement, and only as a wrapper-composition difference — not a change in net after-tax wealth.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29b992d5fc082f1f8dd5ec9a227ec5b227ef90b"/>
    <w:p>
      <w:pPr>
        <w:pStyle w:val="Heading2"/>
      </w:pPr>
      <w:r>
        <w:t xml:space="preserve">4. Algebraic Proof: PV Equivalence at the Portfolio Rate</w:t>
      </w:r>
    </w:p>
    <w:p>
      <w:pPr>
        <w:pStyle w:val="FirstParagraph"/>
      </w:pPr>
      <w:r>
        <w:t xml:space="preserve">At the portfolio discount rate, the SRC adds a cash-flow stream with zero NPV — nominal-cash-flow-positive over the distribution period.</w:t>
      </w:r>
    </w:p>
    <w:p>
      <w:pPr>
        <w:pStyle w:val="BodyText"/>
      </w:pPr>
      <w:r>
        <w:t xml:space="preserve">Outside funding adds yearly Roth distributions of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(fixed-annuity payment formula) with year-0 outflow of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. The Outside-vs-Inside ATCF difference is exactly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distribution years.</w:t>
      </w:r>
    </w:p>
    <w:p>
      <w:pPr>
        <w:pStyle w:val="BodyText"/>
      </w:pPr>
      <w:r>
        <w:rPr>
          <w:b/>
          <w:bCs/>
        </w:rPr>
        <w:t xml:space="preserve">Net present value of the SRC stream (Outside vs Inside with constant inputs):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V</m:t>
                  </m:r>
                </m:e>
                <m:sub>
                  <m:r>
                    <m:t>S</m:t>
                  </m:r>
                  <m:r>
                    <m:t>R</m:t>
                  </m:r>
                  <m:r>
                    <m:t>C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cancellation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P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an annuity identity. When discount and portfolio rates are equal, the</w:t>
      </w:r>
      <w:r>
        <w:t xml:space="preserve"> </w:t>
      </w:r>
      <w:r>
        <w:rPr>
          <w:b/>
          <w:bCs/>
        </w:rPr>
        <w:t xml:space="preserve">Outside-funded SRC produces zero net present value.</w:t>
      </w:r>
      <w:r>
        <w:t xml:space="preserve"> </w:t>
      </w:r>
      <w:r>
        <w:t xml:space="preserve">However, the SRC’s K dollars generate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r>
          <m:t>1.888</m:t>
        </m:r>
        <m:r>
          <m:t>K</m:t>
        </m:r>
      </m:oMath>
      <w:r>
        <w:t xml:space="preserve"> </w:t>
      </w:r>
      <w:r>
        <w:t xml:space="preserve">in nominal lifetime payouts (at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) — K plus its time-value return.</w:t>
      </w:r>
    </w:p>
    <w:p>
      <w:pPr>
        <w:pStyle w:val="BodyText"/>
      </w:pPr>
      <w:r>
        <w:rPr>
          <w:b/>
          <w:bCs/>
        </w:rPr>
        <w:t xml:space="preserve">The SRC’s lasting value: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compounds tax-free at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instead of suffering drag at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, generating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annual tax-drag-avoidance alpha (Property 2; §6).</w:t>
      </w:r>
    </w:p>
    <w:p>
      <w:pPr>
        <w:pStyle w:val="BodyText"/>
      </w:pPr>
      <w:r>
        <w:rPr>
          <w:b/>
          <w:bCs/>
        </w:rPr>
        <w:t xml:space="preserve">Scope of the PV identity:</w:t>
      </w:r>
      <w:r>
        <w:t xml:space="preserve"> </w:t>
      </w:r>
      <w:r>
        <w:t xml:space="preserve">It is a property of the same matched-rate framework employed by McQuarrie (2024), Vanguard / Passman (2025) BETR, and Reichenstein &amp; Meyer (2017) — not an artifact of discount choice. If a retiree’s discount rate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r</m:t>
        </m:r>
      </m:oMath>
      <w:r>
        <w:t xml:space="preserve">, the identity breaks (</w:t>
      </w:r>
      <m:oMath>
        <m:r>
          <m:t>ρ</m:t>
        </m:r>
        <m:r>
          <m:rPr>
            <m:sty m:val="p"/>
          </m:rPr>
          <m:t>&gt;</m:t>
        </m:r>
        <m:r>
          <m:t>r</m:t>
        </m:r>
      </m:oMath>
      <w:r>
        <w:t xml:space="preserve"> </w:t>
      </w:r>
      <w:r>
        <w:t xml:space="preserve">→ negative SRC PV;</w:t>
      </w:r>
      <w:r>
        <w:t xml:space="preserve"> </w:t>
      </w:r>
      <m:oMath>
        <m:r>
          <m:t>ρ</m:t>
        </m:r>
        <m:r>
          <m:rPr>
            <m:sty m:val="p"/>
          </m:rPr>
          <m:t>&lt;</m:t>
        </m:r>
        <m:r>
          <m:t>r</m:t>
        </m:r>
      </m:oMath>
      <w:r>
        <w:t xml:space="preserve"> </w:t>
      </w:r>
      <w:r>
        <w:t xml:space="preserve">→ positive), but most risk-averse retirees have</w:t>
      </w:r>
      <w:r>
        <w:t xml:space="preserve"> </w:t>
      </w:r>
      <m:oMath>
        <m:r>
          <m:t>ρ</m:t>
        </m:r>
        <m:r>
          <m:rPr>
            <m:sty m:val="p"/>
          </m:rPr>
          <m:t>≤</m:t>
        </m:r>
        <m:r>
          <m:t>r</m:t>
        </m:r>
      </m:oMath>
      <w:r>
        <w:t xml:space="preserve">, keeping the SRC neutral-to-favorable.</w:t>
      </w:r>
    </w:p>
    <w:p>
      <w:r>
        <w:pict>
          <v:rect style="width:0;height:1.5pt" o:hralign="center" o:hrstd="t" o:hr="t"/>
        </w:pict>
      </w:r>
    </w:p>
    <w:bookmarkEnd w:id="22"/>
    <w:bookmarkStart w:id="26" w:name="X6ca4a35a7e2455f691cb4c2b66d63c7eb812002"/>
    <w:p>
      <w:pPr>
        <w:pStyle w:val="Heading2"/>
      </w:pPr>
      <w:r>
        <w:t xml:space="preserve">5. Empirical Proof: Paired Inside / Outside Scenarios (Fixed Annuity)</w:t>
      </w:r>
    </w:p>
    <w:p>
      <w:pPr>
        <w:pStyle w:val="FirstParagraph"/>
      </w:pPr>
      <w:r>
        <w:t xml:space="preserve">We compare Inside vs Outside simulation runs using identical inputs.</w:t>
      </w:r>
    </w:p>
    <w:p>
      <w:pPr>
        <w:pStyle w:val="BodyText"/>
      </w:pPr>
      <w:r>
        <w:rPr>
          <w:b/>
          <w:bCs/>
        </w:rPr>
        <w:t xml:space="preserve">User profile:</w:t>
      </w:r>
      <w:r>
        <w:t xml:space="preserve"> </w:t>
      </w:r>
      <w:r>
        <w:t xml:space="preserve">- Age 69, Single filer</w:t>
      </w:r>
      <w:r>
        <w:t xml:space="preserve"> </w:t>
      </w:r>
      <w:r>
        <w:t xml:space="preserve">- Traditional savings: $1,000,000; Roth savings: $0</w:t>
      </w:r>
    </w:p>
    <w:p>
      <w:pPr>
        <w:pStyle w:val="BodyText"/>
      </w:pPr>
      <w:r>
        <w:rPr>
          <w:b/>
          <w:bCs/>
        </w:rPr>
        <w:t xml:space="preserve">Shared inputs (both scenarios):</w:t>
      </w:r>
      <w:r>
        <w:t xml:space="preserve"> </w:t>
      </w:r>
      <w:r>
        <w:t xml:space="preserve">- Distribution method: Fixed Annuity (FA), start age 70</w:t>
      </w:r>
      <w:r>
        <w:t xml:space="preserve"> </w:t>
      </w:r>
      <w:r>
        <w:t xml:space="preserve">- 20-year owner life expectancy</w:t>
      </w:r>
      <w:r>
        <w:t xml:space="preserve"> </w:t>
      </w:r>
      <w:r>
        <w:t xml:space="preserve">- Portfolio return assumption: 7.00%</w:t>
      </w:r>
      <w:r>
        <w:t xml:space="preserve"> </w:t>
      </w:r>
      <w:r>
        <w:t xml:space="preserve">- Inflation assumption: 2.50%</w:t>
      </w:r>
      <w:r>
        <w:t xml:space="preserve"> </w:t>
      </w:r>
      <w:r>
        <w:t xml:space="preserve">- Social Security benefit: $50,000/yr starting age 70</w:t>
      </w:r>
      <w:r>
        <w:t xml:space="preserve"> </w:t>
      </w:r>
      <w:r>
        <w:t xml:space="preserve">- Medicare coverage: Parts B &amp; D</w:t>
      </w:r>
      <w:r>
        <w:t xml:space="preserve"> </w:t>
      </w:r>
      <w:r>
        <w:t xml:space="preserve">- No other taxable income in conversion or distribution years</w:t>
      </w:r>
    </w:p>
    <w:p>
      <w:pPr>
        <w:pStyle w:val="BodyText"/>
      </w:pPr>
      <w:r>
        <w:rPr>
          <w:b/>
          <w:bCs/>
        </w:rPr>
        <w:t xml:space="preserve">Conversion (both scenarios):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= $123,850.00, fills through 22% cumulative bracket.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$17,966.00 (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14.51</m:t>
        </m:r>
        <m:r>
          <m:rPr>
            <m:sty m:val="p"/>
          </m:rPr>
          <m:t>%</m:t>
        </m:r>
      </m:oMath>
      <w:r>
        <w:t xml:space="preserve">). Time-weighted</w:t>
      </w:r>
      <w: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22.39</m:t>
        </m:r>
        <m:r>
          <m:rPr>
            <m:sty m:val="p"/>
          </m:rPr>
          <m:t>%</m:t>
        </m:r>
      </m:oMath>
      <w:r>
        <w:t xml:space="preserve">. Annuity-factor multiple = 1.88786.</w:t>
      </w:r>
    </w:p>
    <w:bookmarkStart w:id="23" w:name="X5aef0f35aac439845ced304cb26de806db1abfd"/>
    <w:p>
      <w:pPr>
        <w:pStyle w:val="Heading3"/>
      </w:pPr>
      <w:r>
        <w:t xml:space="preserve">5.1 Year-by-Year ATCF Deltas — Inside vs Outside</w:t>
      </w:r>
    </w:p>
    <w:p>
      <w:pPr>
        <w:pStyle w:val="FirstParagraph"/>
      </w:pPr>
      <w:r>
        <w:t xml:space="preserve">For each year we compute ΔATCF = ATCF(conversion) − ATCF(no-conversion baseline) for both Inside and Outside scenarios.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1721"/>
        <w:gridCol w:w="1033"/>
        <w:gridCol w:w="1033"/>
        <w:gridCol w:w="1033"/>
        <w:gridCol w:w="10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Inside ΔATCF</w:t>
            </w:r>
          </w:p>
        </w:tc>
        <w:tc>
          <w:tcPr/>
          <w:p>
            <w:pPr>
              <w:pStyle w:val="Compact"/>
            </w:pPr>
            <w:r>
              <w:t xml:space="preserve">Outside ΔATCF</w:t>
            </w:r>
          </w:p>
        </w:tc>
        <w:tc>
          <w:tcPr/>
          <w:p>
            <w:pPr>
              <w:pStyle w:val="Compact"/>
            </w:pPr>
            <w:r>
              <w:t xml:space="preserve">Outside − Inside (nom)</w:t>
            </w:r>
          </w:p>
        </w:tc>
        <w:tc>
          <w:tcPr/>
          <w:p>
            <w:pPr>
              <w:pStyle w:val="Compact"/>
            </w:pPr>
            <w:r>
              <w:t xml:space="preserve">Outside − Inside (PV @ 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$−17,966</w:t>
            </w:r>
          </w:p>
        </w:tc>
        <w:tc>
          <w:tcPr/>
          <w:p>
            <w:pPr>
              <w:pStyle w:val="Compact"/>
            </w:pPr>
            <w:r>
              <w:t xml:space="preserve">$−17,966</w:t>
            </w:r>
          </w:p>
        </w:tc>
        <w:tc>
          <w:tcPr/>
          <w:p>
            <w:pPr>
              <w:pStyle w:val="Compact"/>
            </w:pPr>
            <w:r>
              <w:t xml:space="preserve">$−17,966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$1,075</w:t>
            </w:r>
          </w:p>
        </w:tc>
        <w:tc>
          <w:tcPr/>
          <w:p>
            <w:pPr>
              <w:pStyle w:val="Compact"/>
            </w:pPr>
            <w:r>
              <w:t xml:space="preserve">$2,771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$1,585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$1,033</w:t>
            </w:r>
          </w:p>
        </w:tc>
        <w:tc>
          <w:tcPr/>
          <w:p>
            <w:pPr>
              <w:pStyle w:val="Compact"/>
            </w:pPr>
            <w:r>
              <w:t xml:space="preserve">$2,729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$1,481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$989</w:t>
            </w:r>
          </w:p>
        </w:tc>
        <w:tc>
          <w:tcPr/>
          <w:p>
            <w:pPr>
              <w:pStyle w:val="Compact"/>
            </w:pPr>
            <w:r>
              <w:t xml:space="preserve">$2,685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$1,384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$945</w:t>
            </w:r>
          </w:p>
        </w:tc>
        <w:tc>
          <w:tcPr/>
          <w:p>
            <w:pPr>
              <w:pStyle w:val="Compact"/>
            </w:pPr>
            <w:r>
              <w:t xml:space="preserve">$2,641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$1,294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$900</w:t>
            </w:r>
          </w:p>
        </w:tc>
        <w:tc>
          <w:tcPr/>
          <w:p>
            <w:pPr>
              <w:pStyle w:val="Compact"/>
            </w:pPr>
            <w:r>
              <w:t xml:space="preserve">$2,596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$1,209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$1,130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2033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$1,056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2035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$923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2036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2037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$806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2038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2039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2040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$658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⋯</w:t>
            </w:r>
          </w:p>
        </w:tc>
        <w:tc>
          <w:tcPr/>
          <w:p>
            <w:pPr>
              <w:pStyle w:val="Compact"/>
            </w:pPr>
            <w:r>
              <w:t xml:space="preserve">⋯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⋯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2046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$876</w:t>
            </w:r>
          </w:p>
        </w:tc>
        <w:tc>
          <w:tcPr/>
          <w:p>
            <w:pPr>
              <w:pStyle w:val="Compact"/>
            </w:pPr>
            <w:r>
              <w:t xml:space="preserve">$2,572</w:t>
            </w:r>
          </w:p>
        </w:tc>
        <w:tc>
          <w:tcPr/>
          <w:p>
            <w:pPr>
              <w:pStyle w:val="Compact"/>
            </w:pPr>
            <w:r>
              <w:t xml:space="preserve">$1,696</w:t>
            </w:r>
          </w:p>
        </w:tc>
        <w:tc>
          <w:tcPr/>
          <w:p>
            <w:pPr>
              <w:pStyle w:val="Compact"/>
            </w:pPr>
            <w:r>
              <w:t xml:space="preserve">$438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20-yr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$18,083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$34,034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+$15,951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+$0</w:t>
            </w:r>
          </w:p>
        </w:tc>
      </w:tr>
    </w:tbl>
    <w:bookmarkEnd w:id="23"/>
    <w:bookmarkStart w:id="24" w:name="X54001a40da4aa3b848b97b9d046ebb98cb9ef6c"/>
    <w:p>
      <w:pPr>
        <w:pStyle w:val="Heading3"/>
      </w:pPr>
      <w:r>
        <w:t xml:space="preserve">5.2 Empirical Confirmation: The Constant +$1,695.86 / Year Increment</w:t>
      </w:r>
    </w:p>
    <w:p>
      <w:pPr>
        <w:pStyle w:val="FirstParagraph"/>
      </w:pPr>
      <w:r>
        <w:t xml:space="preserve">The Outside − Inside column is constant at $1,695.86 every year, matching the algebraic prediction: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A</m:t>
          </m:r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%</m:t>
          </m:r>
          <m:r>
            <m:rPr>
              <m:sty m:val="p"/>
            </m:rPr>
            <m:t>,</m:t>
          </m:r>
          <m:r>
            <m:t> </m:t>
          </m:r>
          <m:r>
            <m:t>N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$</m:t>
          </m:r>
          <m:r>
            <m:t>17</m:t>
          </m:r>
          <m:r>
            <m:rPr>
              <m:sty m:val="p"/>
            </m:rPr>
            <m:t>,</m:t>
          </m:r>
          <m:r>
            <m:t>966</m:t>
          </m:r>
          <m:r>
            <m:rPr>
              <m:sty m:val="p"/>
            </m:rPr>
            <m:t>×</m:t>
          </m:r>
          <m:r>
            <m:t>0.094393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$</m:t>
          </m:r>
          <m:r>
            <m:t>1</m:t>
          </m:r>
          <m:r>
            <m:rPr>
              <m:sty m:val="p"/>
            </m:rPr>
            <m:t>,</m:t>
          </m:r>
          <m:r>
            <m:t>695.86</m:t>
          </m:r>
          <m:r>
            <m:t> </m:t>
          </m:r>
          <m:r>
            <m:rPr>
              <m:sty m:val="p"/>
            </m:rPr>
            <m:t>✓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1.07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0.094393</m:t>
        </m:r>
      </m:oMath>
      <w:r>
        <w:t xml:space="preserve">.</w:t>
      </w:r>
    </w:p>
    <w:bookmarkEnd w:id="24"/>
    <w:bookmarkStart w:id="25" w:name="the-pv-identity"/>
    <w:p>
      <w:pPr>
        <w:pStyle w:val="Heading3"/>
      </w:pPr>
      <w:r>
        <w:t xml:space="preserve">5.3 The PV Identity</w:t>
      </w:r>
    </w:p>
    <w:p>
      <w:pPr>
        <w:pStyle w:val="FirstParagraph"/>
      </w:pPr>
      <w:r>
        <w:t xml:space="preserve">The Outside − Inside (PV @ 7%) column sums to approximately zero across all 21 rows — empirical evidence of the algebraic identity proved in Section 4. The −$17,966 year-0 outflow is offset by the 20-year constant $1,696 distribution stream PV: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PV of $1,695.86/yr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20 yrs at 7%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$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695.86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$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695.86</m:t>
              </m:r>
              <m:r>
                <m:rPr>
                  <m:sty m:val="p"/>
                </m:rPr>
                <m:t>×</m:t>
              </m:r>
              <m:r>
                <m:t>10.594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$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966</m:t>
              </m:r>
              <m:r>
                <m:t> </m:t>
              </m:r>
              <m:r>
                <m:rPr>
                  <m:sty m:val="p"/>
                </m:rPr>
                <m:t>✓</m:t>
              </m:r>
            </m:e>
          </m:eqArr>
        </m:oMath>
      </m:oMathPara>
    </w:p>
    <w:p>
      <w:pPr>
        <w:pStyle w:val="FirstParagraph"/>
      </w:pPr>
      <w:r>
        <w:t xml:space="preserve">Equivalently, Inside ΔATCF total PV at 7% ($9,766) equals Outside ΔATCF total PV at 7% ($9,766).</w:t>
      </w:r>
    </w:p>
    <w:p>
      <w:pPr>
        <w:pStyle w:val="BodyText"/>
      </w:pPr>
      <w:r>
        <w:t xml:space="preserve">The owner paid $17,966 at year 0 and received its PV equivalent back over 20 years — the identity confirmed; SRC IRR = 7% portfolio rate. Alpha components are identical between Inside and Outside ($9,766 PV). Outside’s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outlay earns a 15.01% IRR (~8% more than SRC’s 7%). Inside’s IRR is undefined (no cash outlay).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e7944b71c4bb1569151cd4a67157069d4cb9277"/>
    <w:p>
      <w:pPr>
        <w:pStyle w:val="Heading2"/>
      </w:pPr>
      <w:r>
        <w:t xml:space="preserve">5B. Generalization: Paired Inside / Outside Scenarios (RMD)</w:t>
      </w:r>
    </w:p>
    <w:p>
      <w:pPr>
        <w:pStyle w:val="FirstParagraph"/>
      </w:pPr>
      <w:r>
        <w:t xml:space="preserve">Two natural questions extend the §5 FA result:</w:t>
      </w:r>
    </w:p>
    <w:p>
      <w:pPr>
        <w:pStyle w:val="Compact"/>
        <w:numPr>
          <w:ilvl w:val="0"/>
          <w:numId w:val="1004"/>
        </w:numPr>
      </w:pPr>
      <w:r>
        <w:t xml:space="preserve">Does the SRC’s PV identity hold under varying distributions, where the per-year increment is no longer constant?</w:t>
      </w:r>
    </w:p>
    <w:p>
      <w:pPr>
        <w:pStyle w:val="Compact"/>
        <w:numPr>
          <w:ilvl w:val="0"/>
          <w:numId w:val="1004"/>
        </w:numPr>
      </w:pPr>
      <w:r>
        <w:t xml:space="preserve">How does the SRC manifest when distributions leave a positive balance for beneficiaries?</w:t>
      </w:r>
    </w:p>
    <w:p>
      <w:pPr>
        <w:pStyle w:val="FirstParagraph"/>
      </w:pPr>
      <w:r>
        <w:t xml:space="preserve">We answer both with a second paired simulation, all inputs identical except the distribution method is set to RMD-Only.</w:t>
      </w:r>
    </w:p>
    <w:bookmarkStart w:id="27" w:name="b.1-setup"/>
    <w:p>
      <w:pPr>
        <w:pStyle w:val="Heading3"/>
      </w:pPr>
      <w:r>
        <w:t xml:space="preserve">5B.1 Setup</w:t>
      </w:r>
    </w:p>
    <w:p>
      <w:pPr>
        <w:pStyle w:val="FirstParagraph"/>
      </w:pPr>
      <w:r>
        <w:t xml:space="preserve">All §5 inputs apply except distribution method: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= $123,850,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$17,966, 7.00% portfolio return, 20-year life expectancy. RMDs run ages 73–92 using IRS Uniform Lifetime Table divisors; ages 93–102 use level annuity distributions under SECURE Act’s 10-year beneficiary period. Roth accounts have no RMDs but are modeled identically to Traditional here for Outside-vs-Inside comparability.</w:t>
      </w:r>
    </w:p>
    <w:bookmarkEnd w:id="27"/>
    <w:bookmarkStart w:id="28" w:name="X4e04a48345a45d55b25fb6fc35cd4bc3cff329d"/>
    <w:p>
      <w:pPr>
        <w:pStyle w:val="Heading3"/>
      </w:pPr>
      <w:r>
        <w:t xml:space="preserve">5B.2 Year-by-Year ΔATCF — Inside vs Outside Under RMD</w:t>
      </w:r>
    </w:p>
    <w:p>
      <w:pPr>
        <w:pStyle w:val="FirstParagraph"/>
      </w:pPr>
      <w:r>
        <w:t xml:space="preserve">Under RMD, the per-year (Outside − Inside) increment varies during the owner RMD period and is constant during the 10-year beneficiary annuity period.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1721"/>
        <w:gridCol w:w="1033"/>
        <w:gridCol w:w="1033"/>
        <w:gridCol w:w="1033"/>
        <w:gridCol w:w="10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Inside ΔATCF</w:t>
            </w:r>
          </w:p>
        </w:tc>
        <w:tc>
          <w:tcPr/>
          <w:p>
            <w:pPr>
              <w:pStyle w:val="Compact"/>
            </w:pPr>
            <w:r>
              <w:t xml:space="preserve">Outside ΔATCF</w:t>
            </w:r>
          </w:p>
        </w:tc>
        <w:tc>
          <w:tcPr/>
          <w:p>
            <w:pPr>
              <w:pStyle w:val="Compact"/>
            </w:pPr>
            <w:r>
              <w:t xml:space="preserve">Outside − Inside (nom)</w:t>
            </w:r>
          </w:p>
        </w:tc>
        <w:tc>
          <w:tcPr/>
          <w:p>
            <w:pPr>
              <w:pStyle w:val="Compact"/>
            </w:pPr>
            <w:r>
              <w:t xml:space="preserve">Outside − Inside (PV @ 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$1,274</w:t>
            </w:r>
          </w:p>
        </w:tc>
        <w:tc>
          <w:tcPr/>
          <w:p>
            <w:pPr>
              <w:pStyle w:val="Compact"/>
            </w:pPr>
            <w:r>
              <w:t xml:space="preserve">$2,105</w:t>
            </w:r>
          </w:p>
        </w:tc>
        <w:tc>
          <w:tcPr/>
          <w:p>
            <w:pPr>
              <w:pStyle w:val="Compact"/>
            </w:pPr>
            <w:r>
              <w:t xml:space="preserve">$831</w:t>
            </w:r>
          </w:p>
        </w:tc>
        <w:tc>
          <w:tcPr/>
          <w:p>
            <w:pPr>
              <w:pStyle w:val="Compact"/>
            </w:pPr>
            <w:r>
              <w:t xml:space="preserve">$634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$1,609</w:t>
            </w:r>
          </w:p>
        </w:tc>
        <w:tc>
          <w:tcPr/>
          <w:p>
            <w:pPr>
              <w:pStyle w:val="Compact"/>
            </w:pPr>
            <w:r>
              <w:t xml:space="preserve">$2,500</w:t>
            </w:r>
          </w:p>
        </w:tc>
        <w:tc>
          <w:tcPr/>
          <w:p>
            <w:pPr>
              <w:pStyle w:val="Compact"/>
            </w:pPr>
            <w:r>
              <w:t xml:space="preserve">$891</w:t>
            </w:r>
          </w:p>
        </w:tc>
        <w:tc>
          <w:tcPr/>
          <w:p>
            <w:pPr>
              <w:pStyle w:val="Compact"/>
            </w:pPr>
            <w:r>
              <w:t xml:space="preserve">$635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$1,719</w:t>
            </w:r>
          </w:p>
        </w:tc>
        <w:tc>
          <w:tcPr/>
          <w:p>
            <w:pPr>
              <w:pStyle w:val="Compact"/>
            </w:pPr>
            <w:r>
              <w:t xml:space="preserve">$2,671</w:t>
            </w:r>
          </w:p>
        </w:tc>
        <w:tc>
          <w:tcPr/>
          <w:p>
            <w:pPr>
              <w:pStyle w:val="Compact"/>
            </w:pPr>
            <w:r>
              <w:t xml:space="preserve">$952</w:t>
            </w:r>
          </w:p>
        </w:tc>
        <w:tc>
          <w:tcPr/>
          <w:p>
            <w:pPr>
              <w:pStyle w:val="Compact"/>
            </w:pPr>
            <w:r>
              <w:t xml:space="preserve">$634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2033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$1,837</w:t>
            </w:r>
          </w:p>
        </w:tc>
        <w:tc>
          <w:tcPr/>
          <w:p>
            <w:pPr>
              <w:pStyle w:val="Compact"/>
            </w:pPr>
            <w:r>
              <w:t xml:space="preserve">$2,854</w:t>
            </w:r>
          </w:p>
        </w:tc>
        <w:tc>
          <w:tcPr/>
          <w:p>
            <w:pPr>
              <w:pStyle w:val="Compact"/>
            </w:pPr>
            <w:r>
              <w:t xml:space="preserve">$1,017</w:t>
            </w:r>
          </w:p>
        </w:tc>
        <w:tc>
          <w:tcPr/>
          <w:p>
            <w:pPr>
              <w:pStyle w:val="Compact"/>
            </w:pPr>
            <w:r>
              <w:t xml:space="preserve">$633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$1,618</w:t>
            </w:r>
          </w:p>
        </w:tc>
        <w:tc>
          <w:tcPr/>
          <w:p>
            <w:pPr>
              <w:pStyle w:val="Compact"/>
            </w:pPr>
            <w:r>
              <w:t xml:space="preserve">$2,725</w:t>
            </w:r>
          </w:p>
        </w:tc>
        <w:tc>
          <w:tcPr/>
          <w:p>
            <w:pPr>
              <w:pStyle w:val="Compact"/>
            </w:pPr>
            <w:r>
              <w:t xml:space="preserve">$1,107</w:t>
            </w:r>
          </w:p>
        </w:tc>
        <w:tc>
          <w:tcPr/>
          <w:p>
            <w:pPr>
              <w:pStyle w:val="Compact"/>
            </w:pPr>
            <w:r>
              <w:t xml:space="preserve">$644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2035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$1,121</w:t>
            </w:r>
          </w:p>
        </w:tc>
        <w:tc>
          <w:tcPr/>
          <w:p>
            <w:pPr>
              <w:pStyle w:val="Compact"/>
            </w:pPr>
            <w:r>
              <w:t xml:space="preserve">$2,294</w:t>
            </w:r>
          </w:p>
        </w:tc>
        <w:tc>
          <w:tcPr/>
          <w:p>
            <w:pPr>
              <w:pStyle w:val="Compact"/>
            </w:pPr>
            <w:r>
              <w:t xml:space="preserve">$1,173</w:t>
            </w:r>
          </w:p>
        </w:tc>
        <w:tc>
          <w:tcPr/>
          <w:p>
            <w:pPr>
              <w:pStyle w:val="Compact"/>
            </w:pPr>
            <w:r>
              <w:t xml:space="preserve">$638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2036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$638</w:t>
            </w:r>
          </w:p>
        </w:tc>
        <w:tc>
          <w:tcPr/>
          <w:p>
            <w:pPr>
              <w:pStyle w:val="Compact"/>
            </w:pPr>
            <w:r>
              <w:t xml:space="preserve">$1,873</w:t>
            </w:r>
          </w:p>
        </w:tc>
        <w:tc>
          <w:tcPr/>
          <w:p>
            <w:pPr>
              <w:pStyle w:val="Compact"/>
            </w:pPr>
            <w:r>
              <w:t xml:space="preserve">$1,235</w:t>
            </w:r>
          </w:p>
        </w:tc>
        <w:tc>
          <w:tcPr/>
          <w:p>
            <w:pPr>
              <w:pStyle w:val="Compact"/>
            </w:pPr>
            <w:r>
              <w:t xml:space="preserve">$628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2037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$681</w:t>
            </w:r>
          </w:p>
        </w:tc>
        <w:tc>
          <w:tcPr/>
          <w:p>
            <w:pPr>
              <w:pStyle w:val="Compact"/>
            </w:pPr>
            <w:r>
              <w:t xml:space="preserve">$1,981</w:t>
            </w:r>
          </w:p>
        </w:tc>
        <w:tc>
          <w:tcPr/>
          <w:p>
            <w:pPr>
              <w:pStyle w:val="Compact"/>
            </w:pPr>
            <w:r>
              <w:t xml:space="preserve">$1,300</w:t>
            </w:r>
          </w:p>
        </w:tc>
        <w:tc>
          <w:tcPr/>
          <w:p>
            <w:pPr>
              <w:pStyle w:val="Compact"/>
            </w:pPr>
            <w:r>
              <w:t xml:space="preserve">$618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2038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$724</w:t>
            </w:r>
          </w:p>
        </w:tc>
        <w:tc>
          <w:tcPr/>
          <w:p>
            <w:pPr>
              <w:pStyle w:val="Compact"/>
            </w:pPr>
            <w:r>
              <w:t xml:space="preserve">$2,096</w:t>
            </w:r>
          </w:p>
        </w:tc>
        <w:tc>
          <w:tcPr/>
          <w:p>
            <w:pPr>
              <w:pStyle w:val="Compact"/>
            </w:pPr>
            <w:r>
              <w:t xml:space="preserve">$1,372</w:t>
            </w:r>
          </w:p>
        </w:tc>
        <w:tc>
          <w:tcPr/>
          <w:p>
            <w:pPr>
              <w:pStyle w:val="Compact"/>
            </w:pPr>
            <w:r>
              <w:t xml:space="preserve">$609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2039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$773</w:t>
            </w:r>
          </w:p>
        </w:tc>
        <w:tc>
          <w:tcPr/>
          <w:p>
            <w:pPr>
              <w:pStyle w:val="Compact"/>
            </w:pPr>
            <w:r>
              <w:t xml:space="preserve">$2,222</w:t>
            </w:r>
          </w:p>
        </w:tc>
        <w:tc>
          <w:tcPr/>
          <w:p>
            <w:pPr>
              <w:pStyle w:val="Compact"/>
            </w:pPr>
            <w:r>
              <w:t xml:space="preserve">$1,449</w:t>
            </w:r>
          </w:p>
        </w:tc>
        <w:tc>
          <w:tcPr/>
          <w:p>
            <w:pPr>
              <w:pStyle w:val="Compact"/>
            </w:pPr>
            <w:r>
              <w:t xml:space="preserve">$602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2040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$821</w:t>
            </w:r>
          </w:p>
        </w:tc>
        <w:tc>
          <w:tcPr/>
          <w:p>
            <w:pPr>
              <w:pStyle w:val="Compact"/>
            </w:pPr>
            <w:r>
              <w:t xml:space="preserve">$2,357</w:t>
            </w:r>
          </w:p>
        </w:tc>
        <w:tc>
          <w:tcPr/>
          <w:p>
            <w:pPr>
              <w:pStyle w:val="Compact"/>
            </w:pPr>
            <w:r>
              <w:t xml:space="preserve">$1,536</w:t>
            </w:r>
          </w:p>
        </w:tc>
        <w:tc>
          <w:tcPr/>
          <w:p>
            <w:pPr>
              <w:pStyle w:val="Compact"/>
            </w:pPr>
            <w:r>
              <w:t xml:space="preserve">$596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2041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$877</w:t>
            </w:r>
          </w:p>
        </w:tc>
        <w:tc>
          <w:tcPr/>
          <w:p>
            <w:pPr>
              <w:pStyle w:val="Compact"/>
            </w:pPr>
            <w:r>
              <w:t xml:space="preserve">$2,510</w:t>
            </w:r>
          </w:p>
        </w:tc>
        <w:tc>
          <w:tcPr/>
          <w:p>
            <w:pPr>
              <w:pStyle w:val="Compact"/>
            </w:pPr>
            <w:r>
              <w:t xml:space="preserve">$1,633</w:t>
            </w:r>
          </w:p>
        </w:tc>
        <w:tc>
          <w:tcPr/>
          <w:p>
            <w:pPr>
              <w:pStyle w:val="Compact"/>
            </w:pPr>
            <w:r>
              <w:t xml:space="preserve">$592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$930</w:t>
            </w:r>
          </w:p>
        </w:tc>
        <w:tc>
          <w:tcPr/>
          <w:p>
            <w:pPr>
              <w:pStyle w:val="Compact"/>
            </w:pPr>
            <w:r>
              <w:t xml:space="preserve">$2,663</w:t>
            </w:r>
          </w:p>
        </w:tc>
        <w:tc>
          <w:tcPr/>
          <w:p>
            <w:pPr>
              <w:pStyle w:val="Compact"/>
            </w:pPr>
            <w:r>
              <w:t xml:space="preserve">$1,733</w:t>
            </w:r>
          </w:p>
        </w:tc>
        <w:tc>
          <w:tcPr/>
          <w:p>
            <w:pPr>
              <w:pStyle w:val="Compact"/>
            </w:pPr>
            <w:r>
              <w:t xml:space="preserve">$587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2043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$986</w:t>
            </w:r>
          </w:p>
        </w:tc>
        <w:tc>
          <w:tcPr/>
          <w:p>
            <w:pPr>
              <w:pStyle w:val="Compact"/>
            </w:pPr>
            <w:r>
              <w:t xml:space="preserve">$2,824</w:t>
            </w:r>
          </w:p>
        </w:tc>
        <w:tc>
          <w:tcPr/>
          <w:p>
            <w:pPr>
              <w:pStyle w:val="Compact"/>
            </w:pPr>
            <w:r>
              <w:t xml:space="preserve">$1,838</w:t>
            </w:r>
          </w:p>
        </w:tc>
        <w:tc>
          <w:tcPr/>
          <w:p>
            <w:pPr>
              <w:pStyle w:val="Compact"/>
            </w:pPr>
            <w:r>
              <w:t xml:space="preserve">$582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2044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$1,046</w:t>
            </w:r>
          </w:p>
        </w:tc>
        <w:tc>
          <w:tcPr/>
          <w:p>
            <w:pPr>
              <w:pStyle w:val="Compact"/>
            </w:pPr>
            <w:r>
              <w:t xml:space="preserve">$2,994</w:t>
            </w:r>
          </w:p>
        </w:tc>
        <w:tc>
          <w:tcPr/>
          <w:p>
            <w:pPr>
              <w:pStyle w:val="Compact"/>
            </w:pPr>
            <w:r>
              <w:t xml:space="preserve">$1,948</w:t>
            </w:r>
          </w:p>
        </w:tc>
        <w:tc>
          <w:tcPr/>
          <w:p>
            <w:pPr>
              <w:pStyle w:val="Compact"/>
            </w:pPr>
            <w:r>
              <w:t xml:space="preserve">$577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2045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$1,100</w:t>
            </w:r>
          </w:p>
        </w:tc>
        <w:tc>
          <w:tcPr/>
          <w:p>
            <w:pPr>
              <w:pStyle w:val="Compact"/>
            </w:pPr>
            <w:r>
              <w:t xml:space="preserve">$3,168</w:t>
            </w:r>
          </w:p>
        </w:tc>
        <w:tc>
          <w:tcPr/>
          <w:p>
            <w:pPr>
              <w:pStyle w:val="Compact"/>
            </w:pPr>
            <w:r>
              <w:t xml:space="preserve">$2,068</w:t>
            </w:r>
          </w:p>
        </w:tc>
        <w:tc>
          <w:tcPr/>
          <w:p>
            <w:pPr>
              <w:pStyle w:val="Compact"/>
            </w:pPr>
            <w:r>
              <w:t xml:space="preserve">$572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2046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$1,164</w:t>
            </w:r>
          </w:p>
        </w:tc>
        <w:tc>
          <w:tcPr/>
          <w:p>
            <w:pPr>
              <w:pStyle w:val="Compact"/>
            </w:pPr>
            <w:r>
              <w:t xml:space="preserve">$3,418</w:t>
            </w:r>
          </w:p>
        </w:tc>
        <w:tc>
          <w:tcPr/>
          <w:p>
            <w:pPr>
              <w:pStyle w:val="Compact"/>
            </w:pPr>
            <w:r>
              <w:t xml:space="preserve">$2,254</w:t>
            </w:r>
          </w:p>
        </w:tc>
        <w:tc>
          <w:tcPr/>
          <w:p>
            <w:pPr>
              <w:pStyle w:val="Compact"/>
            </w:pPr>
            <w:r>
              <w:t xml:space="preserve">$583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2047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$4,116</w:t>
            </w:r>
          </w:p>
        </w:tc>
        <w:tc>
          <w:tcPr/>
          <w:p>
            <w:pPr>
              <w:pStyle w:val="Compact"/>
            </w:pPr>
            <w:r>
              <w:t xml:space="preserve">$6,482</w:t>
            </w:r>
          </w:p>
        </w:tc>
        <w:tc>
          <w:tcPr/>
          <w:p>
            <w:pPr>
              <w:pStyle w:val="Compact"/>
            </w:pPr>
            <w:r>
              <w:t xml:space="preserve">$2,366</w:t>
            </w:r>
          </w:p>
        </w:tc>
        <w:tc>
          <w:tcPr/>
          <w:p>
            <w:pPr>
              <w:pStyle w:val="Compact"/>
            </w:pPr>
            <w:r>
              <w:t xml:space="preserve">$571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$4,305</w:t>
            </w:r>
          </w:p>
        </w:tc>
        <w:tc>
          <w:tcPr/>
          <w:p>
            <w:pPr>
              <w:pStyle w:val="Compact"/>
            </w:pPr>
            <w:r>
              <w:t xml:space="preserve">$6,777</w:t>
            </w:r>
          </w:p>
        </w:tc>
        <w:tc>
          <w:tcPr/>
          <w:p>
            <w:pPr>
              <w:pStyle w:val="Compact"/>
            </w:pPr>
            <w:r>
              <w:t xml:space="preserve">$2,472</w:t>
            </w:r>
          </w:p>
        </w:tc>
        <w:tc>
          <w:tcPr/>
          <w:p>
            <w:pPr>
              <w:pStyle w:val="Compact"/>
            </w:pPr>
            <w:r>
              <w:t xml:space="preserve">$558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2049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$4,501</w:t>
            </w:r>
          </w:p>
        </w:tc>
        <w:tc>
          <w:tcPr/>
          <w:p>
            <w:pPr>
              <w:pStyle w:val="Compact"/>
            </w:pPr>
            <w:r>
              <w:t xml:space="preserve">$7,097</w:t>
            </w:r>
          </w:p>
        </w:tc>
        <w:tc>
          <w:tcPr/>
          <w:p>
            <w:pPr>
              <w:pStyle w:val="Compact"/>
            </w:pPr>
            <w:r>
              <w:t xml:space="preserve">$2,596</w:t>
            </w:r>
          </w:p>
        </w:tc>
        <w:tc>
          <w:tcPr/>
          <w:p>
            <w:pPr>
              <w:pStyle w:val="Compact"/>
            </w:pPr>
            <w:r>
              <w:t xml:space="preserve">$548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 totals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$31,840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$64,064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+$32,224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+$12,186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2050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$769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2051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2052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2053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$628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2054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$587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2055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2056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$513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2057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$479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2058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$448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2059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$2,015</w:t>
            </w:r>
          </w:p>
        </w:tc>
        <w:tc>
          <w:tcPr/>
          <w:p>
            <w:pPr>
              <w:pStyle w:val="Compact"/>
            </w:pPr>
            <w:r>
              <w:t xml:space="preserve">$5,916</w:t>
            </w:r>
          </w:p>
        </w:tc>
        <w:tc>
          <w:tcPr/>
          <w:p>
            <w:pPr>
              <w:pStyle w:val="Compact"/>
            </w:pPr>
            <w:r>
              <w:t xml:space="preserve">$3,901</w:t>
            </w:r>
          </w:p>
        </w:tc>
        <w:tc>
          <w:tcPr/>
          <w:p>
            <w:pPr>
              <w:pStyle w:val="Compact"/>
            </w:pPr>
            <w:r>
              <w:t xml:space="preserve">$418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Beneficiary totals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$20,150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$59,156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+$39,006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+$5,780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30-yr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$51,990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$123,219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+$71,229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+$17,966</w:t>
            </w:r>
          </w:p>
        </w:tc>
      </w:tr>
    </w:tbl>
    <w:bookmarkEnd w:id="28"/>
    <w:bookmarkStart w:id="29" w:name="b.3-the-pv-identity-holds-to-the-penny"/>
    <w:p>
      <w:pPr>
        <w:pStyle w:val="Heading3"/>
      </w:pPr>
      <w:r>
        <w:t xml:space="preserve">5B.3 The PV Identity Holds — to the Penny</w:t>
      </w:r>
    </w:p>
    <w:p>
      <w:pPr>
        <w:pStyle w:val="FirstParagraph"/>
      </w:pPr>
      <w:r>
        <w:t xml:space="preserve">Adding the year-0 outflow under Outside (−$17,966), the net PV difference between Outside and Inside scenarios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$</m:t>
          </m:r>
          <m:r>
            <m:t>17</m:t>
          </m:r>
          <m:r>
            <m:rPr>
              <m:sty m:val="p"/>
            </m:rPr>
            <m:t>,</m:t>
          </m:r>
          <m:r>
            <m:t>966.00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rPr>
              <m:sty m:val="p"/>
            </m:rPr>
            <m:t>$</m:t>
          </m:r>
          <m:r>
            <m:t>17</m:t>
          </m:r>
          <m:r>
            <m:rPr>
              <m:sty m:val="p"/>
            </m:rPr>
            <m:t>,</m:t>
          </m:r>
          <m:r>
            <m:t>965.96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−</m:t>
          </m:r>
          <m:r>
            <m:rPr>
              <m:sty m:val="p"/>
            </m:rPr>
            <m:t>$</m:t>
          </m:r>
          <m:r>
            <m:t>0.04</m:t>
          </m:r>
        </m:oMath>
      </m:oMathPara>
    </w:p>
    <w:p>
      <w:pPr>
        <w:pStyle w:val="FirstParagraph"/>
      </w:pPr>
      <w:r>
        <w:t xml:space="preserve">A four-cent rounding residual.</w:t>
      </w:r>
      <w:r>
        <w:t xml:space="preserve"> </w:t>
      </w:r>
      <w:r>
        <w:rPr>
          <w:b/>
          <w:bCs/>
        </w:rPr>
        <w:t xml:space="preserve">The SRC’s algebraic identity is empirically confirmed under RMD distributions</w:t>
      </w:r>
      <w:r>
        <w:t xml:space="preserve">, despite varying per-year differentials from $831 to $2,596 for the owner plus a flat $3,901 for the beneficiary.</w:t>
      </w:r>
    </w:p>
    <w:p>
      <w:pPr>
        <w:pStyle w:val="BodyText"/>
      </w:pPr>
      <w:r>
        <w:t xml:space="preserve">Unlike FA’s flat $1,695.86 per-year differential (§5.3), RMD’s varies as the divisor changes annually. Across both methods, the SRC’s PV at the portfolio rate equals exactly zero.</w:t>
      </w:r>
    </w:p>
    <w:bookmarkEnd w:id="29"/>
    <w:bookmarkStart w:id="30" w:name="Xb87e6099050fbf12f4f5dd010b3c526c68ff61d"/>
    <w:p>
      <w:pPr>
        <w:pStyle w:val="Heading3"/>
      </w:pPr>
      <w:r>
        <w:t xml:space="preserve">5B.4 The Payout Multiple — Closed Form and Empirical Validation</w:t>
      </w:r>
    </w:p>
    <w:p>
      <w:pPr>
        <w:pStyle w:val="FirstParagraph"/>
      </w:pPr>
      <w:r>
        <w:t xml:space="preserve">The SRC’s lifetime nominal payout =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× payout multiple, a structural property of the distribution schedule. Under FA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multiple equals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= 1.88786. Under RMD (20-year owner + 10-year beneficiary), it is determined empirically: the Outside RMD scenario yields 3.9647, giving lifetime payout = $17,966 × 3.9647 = $71,229.59.</w:t>
      </w:r>
    </w:p>
    <w:p>
      <w:pPr>
        <w:pStyle w:val="BodyText"/>
      </w:pPr>
      <w:r>
        <w:rPr>
          <w:b/>
          <w:bCs/>
        </w:rPr>
        <w:t xml:space="preserve">3.9647 is a structural constant:</w:t>
      </w:r>
      <w:r>
        <w:t xml:space="preserve"> </w:t>
      </w:r>
      <w:r>
        <w:t xml:space="preserve">Different sized conversions — filling through the 10%, 12%, or 22% bracket (the $123,850 case examined here) — each compute the same 3.9647 payout multiple, a structural property of the distribution schedule and input assumptions.</w:t>
      </w:r>
    </w:p>
    <w:p>
      <w:pPr>
        <w:pStyle w:val="BodyText"/>
      </w:pPr>
      <w:r>
        <w:rPr>
          <w:b/>
          <w:bCs/>
        </w:rPr>
        <w:t xml:space="preserve">Empirical validation:</w:t>
      </w:r>
      <w:r>
        <w:t xml:space="preserve"> </w:t>
      </w:r>
      <w:r>
        <w:t xml:space="preserve">The 10% bracket conversion’s multiple of 3.9647, applied to the 22% bracket’s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$17,966, predicts a lifetime payout of $71,229.59 — matching the §5B.2 table’s actual year-by-year sum ($71,229.46) to within $0.13.</w:t>
      </w:r>
    </w:p>
    <w:p>
      <w:pPr>
        <w:pStyle w:val="BodyText"/>
      </w:pPr>
      <w:r>
        <w:rPr>
          <w:b/>
          <w:bCs/>
        </w:rPr>
        <w:t xml:space="preserve">Comparison to FA.</w:t>
      </w:r>
      <w:r>
        <w:t xml:space="preserve"> </w:t>
      </w:r>
      <w:r>
        <w:t xml:space="preserve">Under FA,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× 1.88786 = $33,917.27. RMD’s 3.9647 multiple is 2.1× larger thanks to the 30-year horizon (vs FA’s 20). Both produce zero PV at the portfolio rate (§4); only nominal totals differ.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rc-alpha-tax-drag-avoidance"/>
    <w:p>
      <w:pPr>
        <w:pStyle w:val="Heading2"/>
      </w:pPr>
      <w:r>
        <w:t xml:space="preserve">6. SRC Alpha: Tax-Drag Avoidance</w:t>
      </w:r>
    </w:p>
    <w:p>
      <w:pPr>
        <w:pStyle w:val="FirstParagraph"/>
      </w:pPr>
      <w:r>
        <w:t xml:space="preserve">Under Outside funding,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compounds at the Roth’s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instead of the taxable account’s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annual return lost to taxation.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, a 7% Roth return becomes 6.65% after drag — a 35-bp annual differential producing the SRC’s drag-avoidance alpha: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 (§5):</w:t>
      </w:r>
      <w:r>
        <w:t xml:space="preserve"> </w:t>
      </w:r>
      <w:r>
        <w:t xml:space="preserve">$485.78 PV / $917.08 FV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RMD (§5B):</w:t>
      </w:r>
      <w:r>
        <w:t xml:space="preserve"> </w:t>
      </w:r>
      <w:r>
        <w:t xml:space="preserve">$1,021 PV / $5,092 FV</w:t>
      </w:r>
    </w:p>
    <w:p>
      <w:pPr>
        <w:pStyle w:val="FirstParagraph"/>
      </w:pPr>
      <w:r>
        <w:t xml:space="preserve">This alpha accrues only under Outside funding.</w:t>
      </w:r>
    </w:p>
    <w:p>
      <w:pPr>
        <w:pStyle w:val="BodyText"/>
      </w:pPr>
      <w:r>
        <w:rPr>
          <w:b/>
          <w:bCs/>
        </w:rPr>
        <w:t xml:space="preserve">Mapping to Vanguard’s BETR.</w:t>
      </w:r>
      <w:r>
        <w:t xml:space="preserve"> </w:t>
      </w:r>
      <w:r>
        <w:t xml:space="preserve">Passman, Wong &amp; Dickson (2025) parameterize our same wrapper-drag wedge via a 20-year cumulative outside-account multiple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relative to the Roth multiple</w:t>
      </w:r>
      <w:r>
        <w:t xml:space="preserve"> </w:t>
      </w:r>
      <m:oMath>
        <m:r>
          <m:t>M</m:t>
        </m:r>
      </m:oMath>
      <w:r>
        <w:t xml:space="preserve">. The relationship to the SRC drag fraction is direct: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</m:num>
            <m:den>
              <m:sSup>
                <m:e>
                  <m:r>
                    <m:t>M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For Vanguard’s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37.5</m:t>
        </m:r>
        <m:r>
          <m:rPr>
            <m:sty m:val="p"/>
          </m:rPr>
          <m:t>%</m:t>
        </m:r>
      </m:oMath>
      <w:r>
        <w:t xml:space="preserve"> </w:t>
      </w:r>
      <w:r>
        <w:t xml:space="preserve">— implicitly assuming a substantially higher tax-inefficiency than this paper’s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baseline (corresponding to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2.74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32"/>
    <w:bookmarkStart w:id="33" w:name="Xbc384f24a5ce11d636f22e8d1847e97eddfe496"/>
    <w:p>
      <w:pPr>
        <w:pStyle w:val="Heading2"/>
      </w:pPr>
      <w:r>
        <w:t xml:space="preserve">7. Implications: Convert? Then Fund Inside or Outside?</w:t>
      </w:r>
    </w:p>
    <w:p>
      <w:pPr>
        <w:pStyle w:val="FirstParagraph"/>
      </w:pPr>
      <w:r>
        <w:rPr>
          <w:i/>
          <w:iCs/>
        </w:rPr>
        <w:t xml:space="preserve">Under age 59½:</w:t>
      </w:r>
      <w:r>
        <w:t xml:space="preserve"> </w:t>
      </w:r>
      <w:r>
        <w:t xml:space="preserve">Outside funding is effectively required. Inside funding requires a pre-tax distribution to cover the conversion tax, subject to the 10% early-withdrawal penalty. Conversion and SRC are bundled — choosing to convert necessarily activates the SRC.</w:t>
      </w:r>
    </w:p>
    <w:p>
      <w:pPr>
        <w:pStyle w:val="BodyText"/>
      </w:pPr>
      <w:r>
        <w:rPr>
          <w:i/>
          <w:iCs/>
        </w:rPr>
        <w:t xml:space="preserve">At age 59½+:</w:t>
      </w:r>
      <w:r>
        <w:t xml:space="preserve"> </w:t>
      </w:r>
      <w:r>
        <w:t xml:space="preserve">both funding paths are available, and the household’s decision separates into two: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Conversion (yes/no, how much):</w:t>
      </w:r>
      <w:r>
        <w:t xml:space="preserve"> </w:t>
      </w:r>
      <w:r>
        <w:t xml:space="preserve">driven by the sum of PV alpha components that don’t depend on funding source — the rate-arbitrage Core (spread on converted principal), the Medicare-surcharge-reduction alpha (not decomposed here), and the RMD tax-drag alpha (drag avoided on reinvested RMDs the conversion eliminates). Each follows from the conversion event itself, not from how the tax is paid. Convert if the sum is PV-positive.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Funding (Inside vs Outside), conditional on conversion:</w:t>
      </w:r>
      <w:r>
        <w:t xml:space="preserve"> </w:t>
      </w:r>
      <w:r>
        <w:t xml:space="preserve">Outside relocates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 a taxable wrapper compounding at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to a tax-free wrapper compounding at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the IRS allows this conversion-tax investment (SRC) that others miscast as a cost. The payoff is the tax-drag-avoidance alpha of §6 ($1,021 PV in the Outside RMD scenario), added to the conversion alpha sum to give total Outside-conversion alpha.</w:t>
      </w:r>
    </w:p>
    <w:p>
      <w:pPr>
        <w:pStyle w:val="FirstParagraph"/>
      </w:pPr>
      <w:r>
        <w:t xml:space="preserve">Once the conversion decision is made, Outside funding is simply an added capital allocation decision.</w:t>
      </w:r>
    </w:p>
    <w:p>
      <w:r>
        <w:pict>
          <v:rect style="width:0;height:1.5pt" o:hralign="center" o:hrstd="t" o:hr="t"/>
        </w:pict>
      </w:r>
    </w:p>
    <w:bookmarkEnd w:id="33"/>
    <w:bookmarkStart w:id="34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The Synthetic Roth Contribution is the economic equivalent of a Roth contribution that occurs when conversion tax is paid from outside the retirement account. Cheshire (2025, SSRN 5205840) introduced the concept; this paper proves it four independent ways: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Algebraic.</w:t>
      </w:r>
      <w:r>
        <w:t xml:space="preserve"> </w:t>
      </w:r>
      <w:r>
        <w:t xml:space="preserve">The annuity-payment / present-value identity proves that when the discount rate equals the portfolio rate, the Outside vs Inside PV difference is exactly zero — yet Outside funding creates a constant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of additional cash flow in every distribution year.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Empirical (FA case).</w:t>
      </w:r>
      <w:r>
        <w:t xml:space="preserve"> </w:t>
      </w:r>
      <w:r>
        <w:t xml:space="preserve">Paired Inside FA and Outside FA scenarios confirm a constant</w:t>
      </w:r>
      <w:r>
        <w:t xml:space="preserve"> </w:t>
      </w:r>
      <w:r>
        <w:rPr>
          <w:b/>
          <w:bCs/>
        </w:rPr>
        <w:t xml:space="preserve">$1,695.86/year</w:t>
      </w:r>
      <w:r>
        <w:t xml:space="preserve"> </w:t>
      </w:r>
      <w:r>
        <w:t xml:space="preserve">increment matching the algebraic prediction to the cent, with identical</w:t>
      </w:r>
      <w:r>
        <w:t xml:space="preserve"> </w:t>
      </w:r>
      <w:r>
        <w:rPr>
          <w:b/>
          <w:bCs/>
        </w:rPr>
        <w:t xml:space="preserve">$9,766 PV totals</w:t>
      </w:r>
      <w:r>
        <w:t xml:space="preserve">. SRC (FV) = $33,917.27 =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</m:oMath>
      <w:r>
        <w:t xml:space="preserve"> </w:t>
      </w:r>
      <w:r>
        <w:t xml:space="preserve">annuity-factor multiple (§5).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Empirical (RMD case — generalization).</w:t>
      </w:r>
      <w:r>
        <w:t xml:space="preserve"> </w:t>
      </w:r>
      <w:r>
        <w:t xml:space="preserve">Under RMD, the per-year (Outside − Inside) increment varies but its PV sums to</w:t>
      </w:r>
      <w:r>
        <w:t xml:space="preserve"> </w:t>
      </w:r>
      <w:r>
        <w:rPr>
          <w:b/>
          <w:bCs/>
        </w:rPr>
        <w:t xml:space="preserve">+$17,965.96</w:t>
      </w:r>
      <w:r>
        <w:t xml:space="preserve">, within 4 cents of</w:t>
      </w:r>
      <w:r>
        <w:t xml:space="preserve"> </w:t>
      </w:r>
      <m:oMath>
        <m:r>
          <m:t>K</m:t>
        </m:r>
      </m:oMath>
      <w:r>
        <w:t xml:space="preserve">. SRC (FV) = $71,229.59 matches the 30-year nominal sum to $0.13 (§5B).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Decompositional.</w:t>
      </w:r>
      <w:r>
        <w:t xml:space="preserve"> </w:t>
      </w:r>
      <w:r>
        <w:t xml:space="preserve">The realized FV difference between Outside and Inside paths cannot be reconciled without including the SRC term as a separable component alongside spread arbitrage, Medicare-surcharge savings, and reduced-RMD tax-drag.</w:t>
      </w:r>
    </w:p>
    <w:p>
      <w:pPr>
        <w:pStyle w:val="FirstParagraph"/>
      </w:pPr>
      <w:r>
        <w:t xml:space="preserve">The SRC’s lasting value emerges not from PV at the portfolio rate (which is zero) but from the tax-drag differential between Roth and taxable wrappers — the channel that compounds the SRC’s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dollars at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instead of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over the post-conversion horizon.</w:t>
      </w:r>
      <w:r>
        <w:t xml:space="preserve"> </w:t>
      </w:r>
      <w:r>
        <w:rPr>
          <w:b/>
          <w:bCs/>
        </w:rPr>
        <w:t xml:space="preserve">Establishing the SRC turns Roth conversion analysis from a tax-rate-spread calculation into a convert plus wrapper-allocation decision.</w:t>
      </w:r>
    </w:p>
    <w:p>
      <w:pPr>
        <w:pStyle w:val="BodyText"/>
      </w:pPr>
      <w:r>
        <w:rPr>
          <w:b/>
          <w:bCs/>
        </w:rPr>
        <w:t xml:space="preserve">Implications for practice: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SRC is a separable wrapper migration with its own PV / FV / IRR identity.</w:t>
      </w:r>
      <w:r>
        <w:t xml:space="preserve"> </w:t>
      </w:r>
      <w:r>
        <w:t xml:space="preserve">The matched-rate PV identity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V</m:t>
        </m:r>
        <m:r>
          <m:rPr>
            <m:sty m:val="p"/>
          </m:rPr>
          <m:t>(</m:t>
        </m:r>
        <m:r>
          <m:rPr>
            <m:nor/>
            <m:sty m:val="p"/>
          </m:rPr>
          <m:t>Outside</m:t>
        </m:r>
        <m:r>
          <m:rPr>
            <m:sty m:val="p"/>
          </m:rPr>
          <m:t>−</m:t>
        </m:r>
        <m:r>
          <m:rPr>
            <m:nor/>
            <m:sty m:val="p"/>
          </m:rPr>
          <m:t>Inside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the portfolio rate has not, to our knowledge, been published outside this framework. Reichenstein &amp; Meyer (2017), Vanguard BETR (2025), and Nalebuff/Haghani/White (2025) each capture related parts but do not state the identity.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SRC’s tax-drag-avoidance alpha is a fourth conversion alpha component.</w:t>
      </w:r>
      <w:r>
        <w:t xml:space="preserve"> </w:t>
      </w:r>
      <w:r>
        <w:t xml:space="preserve">Alongside the rate-arbitrage Core, Medicare-surcharge-reduction alpha, and RMD tax-drag alpha, the SRC’s tax-drag-avoidance alpha (under Outside funding) emerges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compounding at the Roth’s tax-free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instead of the taxable account’s drag-affected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. Calculators that pool funding-source into a single</w:t>
      </w:r>
      <w:r>
        <w:t xml:space="preserve"> </w:t>
      </w:r>
      <w:r>
        <w:t xml:space="preserve">“conversion value”</w:t>
      </w:r>
      <w:r>
        <w:t xml:space="preserve"> </w:t>
      </w:r>
      <w:r>
        <w:t xml:space="preserve">miss this distinct signal — especially when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D</m:t>
            </m:r>
          </m:sub>
        </m:sSub>
      </m:oMath>
      <w:r>
        <w:t xml:space="preserve">, where the rate-arbitrage Core is negative but the tax-drag-avoidance alpha can still render a positive total.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Break-even time frames no longer hold under SRC accounting.</w:t>
      </w:r>
      <w:r>
        <w:t xml:space="preserve"> </w:t>
      </w:r>
      <w:r>
        <w:t xml:space="preserve">Profits are booked at conversion time and play out over the horizon — there is no recoupment-age threshold because there is no cost. McQuarrie (2024)’s age-97 break-even is one example: discounted RMD savings are computed against a one-sided conversion-tax</w:t>
      </w:r>
      <w:r>
        <w:t xml:space="preserve"> </w:t>
      </w:r>
      <w:r>
        <w:t xml:space="preserve">“cost”</w:t>
      </w:r>
      <w:r>
        <w:t xml:space="preserve"> </w:t>
      </w:r>
      <w:r>
        <w:t xml:space="preserve">rather than against a wrapper migration of the household’s own funds. The framing also misreads saving intent: a horizon out to age 97 doesn’t make a conversion bad, it confirms the household is doing what investing is for.</w:t>
      </w:r>
    </w:p>
    <w:p>
      <w:r>
        <w:pict>
          <v:rect style="width:0;height:1.5pt" o:hralign="center" o:hrstd="t" o:hr="t"/>
        </w:pict>
      </w:r>
    </w:p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Cheshire, S. (2025).</w:t>
      </w:r>
      <w:r>
        <w:t xml:space="preserve"> </w:t>
      </w:r>
      <w:r>
        <w:rPr>
          <w:i/>
          <w:iCs/>
        </w:rPr>
        <w:t xml:space="preserve">Roth Conversion Valuation &amp; Mechanics</w:t>
      </w:r>
      <w:r>
        <w:t xml:space="preserve">. SSRN Working Paper 5205840 (April 4, 2025). https://papers.ssrn.com/sol3/papers.cfm?abstract_id=5205840</w:t>
      </w:r>
    </w:p>
    <w:p>
      <w:pPr>
        <w:pStyle w:val="BodyText"/>
      </w:pPr>
      <w:r>
        <w:t xml:space="preserve">Nalebuff, B., Haghani, V., &amp; White, J. (2025).</w:t>
      </w:r>
      <w:r>
        <w:t xml:space="preserve"> </w:t>
      </w:r>
      <w:r>
        <w:rPr>
          <w:i/>
          <w:iCs/>
        </w:rPr>
        <w:t xml:space="preserve">Size Matters in the Roth IRA Conversion Decision</w:t>
      </w:r>
      <w:r>
        <w:t xml:space="preserve">. Elm Wealth Research Note (June 18, 2025). Republished by Advisor Perspectives, July 14, 2025. https://elmwealth.com/roth-conversion/</w:t>
      </w:r>
    </w:p>
    <w:p>
      <w:pPr>
        <w:pStyle w:val="BodyText"/>
      </w:pPr>
      <w:r>
        <w:t xml:space="preserve">McQuarrie, E. F. (2024).</w:t>
      </w:r>
      <w:r>
        <w:t xml:space="preserve"> </w:t>
      </w:r>
      <w:r>
        <w:rPr>
          <w:i/>
          <w:iCs/>
        </w:rPr>
        <w:t xml:space="preserve">Net Present Value Analysis of Roth Conversions</w:t>
      </w:r>
      <w:r>
        <w:t xml:space="preserve">. Journal of Financial Planning 37(7/9): 76–90.</w:t>
      </w:r>
    </w:p>
    <w:p>
      <w:pPr>
        <w:pStyle w:val="BodyText"/>
      </w:pPr>
      <w:r>
        <w:t xml:space="preserve">McQuarrie, E. F., &amp; DiLellio, J. (2023).</w:t>
      </w:r>
      <w:r>
        <w:t xml:space="preserve"> </w:t>
      </w:r>
      <w:r>
        <w:rPr>
          <w:i/>
          <w:iCs/>
        </w:rPr>
        <w:t xml:space="preserve">The Arithmetic of Roth Conversions</w:t>
      </w:r>
      <w:r>
        <w:t xml:space="preserve">. Journal of Financial Planning, May 2023.</w:t>
      </w:r>
    </w:p>
    <w:p>
      <w:pPr>
        <w:pStyle w:val="BodyText"/>
      </w:pPr>
      <w:r>
        <w:t xml:space="preserve">Passman, A. (2025).</w:t>
      </w:r>
      <w:r>
        <w:t xml:space="preserve"> </w:t>
      </w:r>
      <w:r>
        <w:rPr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i/>
          <w:iCs/>
        </w:rPr>
        <w:t xml:space="preserve">“BETR”</w:t>
      </w:r>
      <w:r>
        <w:rPr>
          <w:i/>
          <w:iCs/>
        </w:rPr>
        <w:t xml:space="preserve"> </w:t>
      </w:r>
      <w:r>
        <w:rPr>
          <w:i/>
          <w:iCs/>
        </w:rPr>
        <w:t xml:space="preserve">Approach to Roth Conversions</w:t>
      </w:r>
      <w:r>
        <w:t xml:space="preserve">. Vanguard Research (July 2025). https://corporate.vanguard.com/content/dam/corp/research/pdf/a_betr_approach_to_roth_conversions_072025.pdf</w:t>
      </w:r>
    </w:p>
    <w:p>
      <w:pPr>
        <w:pStyle w:val="BodyText"/>
      </w:pPr>
      <w:r>
        <w:t xml:space="preserve">Reichenstein, W., &amp; Meyer, W. (2017).</w:t>
      </w:r>
      <w:r>
        <w:t xml:space="preserve"> </w:t>
      </w:r>
      <w:r>
        <w:rPr>
          <w:i/>
          <w:iCs/>
        </w:rPr>
        <w:t xml:space="preserve">Valuing Roth Conversion and Recharacterization Options</w:t>
      </w:r>
      <w:r>
        <w:t xml:space="preserve">. Journal of Financial Planning 30(11): 48–56.</w:t>
      </w:r>
    </w:p>
    <w:p>
      <w:pPr>
        <w:pStyle w:val="BodyText"/>
      </w:pPr>
      <w:r>
        <w:t xml:space="preserve">Stowe, D. L., Fodor, A., &amp; Stowe, J. D. (2013).</w:t>
      </w:r>
      <w:r>
        <w:t xml:space="preserve"> </w:t>
      </w:r>
      <w:r>
        <w:rPr>
          <w:i/>
          <w:iCs/>
        </w:rPr>
        <w:t xml:space="preserve">The Value and Use of the IRA Recharacterization Option</w:t>
      </w:r>
      <w:r>
        <w:t xml:space="preserve">. Financial Analysts Journal 69(5): 61–75.</w:t>
      </w:r>
    </w:p>
    <w:p>
      <w:r>
        <w:pict>
          <v:rect style="width:0;height:1.5pt" o:hralign="center" o:hrstd="t" o:hr="t"/>
        </w:pict>
      </w:r>
    </w:p>
    <w:bookmarkEnd w:id="35"/>
    <w:bookmarkStart w:id="38" w:name="X1fb9906062232a1c9ed64da0711341d859c89e8"/>
    <w:p>
      <w:pPr>
        <w:pStyle w:val="Heading2"/>
      </w:pPr>
      <w:r>
        <w:t xml:space="preserve">Appendix A: Selected Values from All Four Scenarios</w:t>
      </w:r>
    </w:p>
    <w:bookmarkStart w:id="36" w:name="a.1-fixed-annuity-distributions"/>
    <w:p>
      <w:pPr>
        <w:pStyle w:val="Heading3"/>
      </w:pPr>
      <w:r>
        <w:t xml:space="preserve">A.1 Fixed Annuity Distributions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Inside</w:t>
            </w:r>
          </w:p>
        </w:tc>
        <w:tc>
          <w:tcPr/>
          <w:p>
            <w:pPr>
              <w:pStyle w:val="Compact"/>
            </w:pPr>
            <w:r>
              <w:t xml:space="preserve">Outside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 Payment Source</w:t>
            </w:r>
          </w:p>
        </w:tc>
        <w:tc>
          <w:tcPr/>
          <w:p>
            <w:pPr>
              <w:pStyle w:val="Compact"/>
            </w:pPr>
            <w:r>
              <w:t xml:space="preserve">Inside</w:t>
            </w:r>
          </w:p>
        </w:tc>
        <w:tc>
          <w:tcPr/>
          <w:p>
            <w:pPr>
              <w:pStyle w:val="Compact"/>
            </w:pPr>
            <w:r>
              <w:t xml:space="preserve">Outside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 Method</w:t>
            </w:r>
          </w:p>
        </w:tc>
        <w:tc>
          <w:tcPr/>
          <w:p>
            <w:pPr>
              <w:pStyle w:val="Compact"/>
            </w:pPr>
            <w:r>
              <w:t xml:space="preserve">Fixed Annuity</w:t>
            </w:r>
          </w:p>
        </w:tc>
        <w:tc>
          <w:tcPr/>
          <w:p>
            <w:pPr>
              <w:pStyle w:val="Compact"/>
            </w:pPr>
            <w:r>
              <w:t xml:space="preserve">Fixed Annuity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Conversion Amount</w:t>
            </w:r>
          </w:p>
        </w:tc>
        <w:tc>
          <w:tcPr/>
          <w:p>
            <w:pPr>
              <w:pStyle w:val="Compact"/>
            </w:pPr>
            <w:r>
              <w:t xml:space="preserve">$123,850.00</w:t>
            </w:r>
          </w:p>
        </w:tc>
        <w:tc>
          <w:tcPr/>
          <w:p>
            <w:pPr>
              <w:pStyle w:val="Compact"/>
            </w:pPr>
            <w:r>
              <w:t xml:space="preserve">$123,850.00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Conversion Tax</w:t>
            </w:r>
          </w:p>
        </w:tc>
        <w:tc>
          <w:tcPr/>
          <w:p>
            <w:pPr>
              <w:pStyle w:val="Compact"/>
            </w:pPr>
            <w:r>
              <w:t xml:space="preserve">$17,966.00</w:t>
            </w:r>
          </w:p>
        </w:tc>
        <w:tc>
          <w:tcPr/>
          <w:p>
            <w:pPr>
              <w:pStyle w:val="Compact"/>
            </w:pPr>
            <w:r>
              <w:t xml:space="preserve">$17,966.00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</w:t>
            </w:r>
            <w:r>
              <w:t xml:space="preserve"> </w:t>
            </w:r>
            <w:r>
              <w:rPr>
                <w:i/>
                <w:iCs/>
              </w:rPr>
              <w:t xml:space="preserve">t_C</w:t>
            </w:r>
          </w:p>
        </w:tc>
        <w:tc>
          <w:tcPr/>
          <w:p>
            <w:pPr>
              <w:pStyle w:val="Compact"/>
            </w:pPr>
            <w:r>
              <w:t xml:space="preserve">14.51%</w:t>
            </w:r>
          </w:p>
        </w:tc>
        <w:tc>
          <w:tcPr/>
          <w:p>
            <w:pPr>
              <w:pStyle w:val="Compact"/>
            </w:pPr>
            <w:r>
              <w:t xml:space="preserve">14.51%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Time-Weighted</w:t>
            </w:r>
            <w:r>
              <w:t xml:space="preserve"> </w:t>
            </w:r>
            <w:r>
              <w:rPr>
                <w:i/>
                <w:iCs/>
              </w:rPr>
              <w:t xml:space="preserve">t_D</w:t>
            </w:r>
          </w:p>
        </w:tc>
        <w:tc>
          <w:tcPr/>
          <w:p>
            <w:pPr>
              <w:pStyle w:val="Compact"/>
            </w:pPr>
            <w:r>
              <w:t xml:space="preserve">22.39%</w:t>
            </w:r>
          </w:p>
        </w:tc>
        <w:tc>
          <w:tcPr/>
          <w:p>
            <w:pPr>
              <w:pStyle w:val="Compact"/>
            </w:pPr>
            <w:r>
              <w:t xml:space="preserve">22.39%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ATCF Change (FV)</w:t>
            </w:r>
          </w:p>
        </w:tc>
        <w:tc>
          <w:tcPr/>
          <w:p>
            <w:pPr>
              <w:pStyle w:val="Compact"/>
            </w:pPr>
            <w:r>
              <w:t xml:space="preserve">$31,937.04</w:t>
            </w:r>
          </w:p>
        </w:tc>
        <w:tc>
          <w:tcPr/>
          <w:p>
            <w:pPr>
              <w:pStyle w:val="Compact"/>
            </w:pPr>
            <w:r>
              <w:t xml:space="preserve">$65,854.30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Tax-Rate Spread (PV)</w:t>
            </w:r>
          </w:p>
        </w:tc>
        <w:tc>
          <w:tcPr/>
          <w:p>
            <w:pPr>
              <w:pStyle w:val="Compact"/>
            </w:pPr>
            <w:r>
              <w:t xml:space="preserve">$9,765.91</w:t>
            </w:r>
          </w:p>
        </w:tc>
        <w:tc>
          <w:tcPr/>
          <w:p>
            <w:pPr>
              <w:pStyle w:val="Compact"/>
            </w:pPr>
            <w:r>
              <w:t xml:space="preserve">$9,765.91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Tax-Rate Spread (FV)</w:t>
            </w:r>
          </w:p>
        </w:tc>
        <w:tc>
          <w:tcPr/>
          <w:p>
            <w:pPr>
              <w:pStyle w:val="Compact"/>
            </w:pPr>
            <w:r>
              <w:t xml:space="preserve">$18,082.96</w:t>
            </w:r>
          </w:p>
        </w:tc>
        <w:tc>
          <w:tcPr/>
          <w:p>
            <w:pPr>
              <w:pStyle w:val="Compact"/>
            </w:pPr>
            <w:r>
              <w:t xml:space="preserve">$18,082.96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Medicare-Surcharge Savings (FV)</w:t>
            </w:r>
          </w:p>
        </w:tc>
        <w:tc>
          <w:tcPr/>
          <w:p>
            <w:pPr>
              <w:pStyle w:val="Compact"/>
            </w:pPr>
            <w:r>
              <w:t xml:space="preserve">$7,680.36</w:t>
            </w:r>
          </w:p>
        </w:tc>
        <w:tc>
          <w:tcPr/>
          <w:p>
            <w:pPr>
              <w:pStyle w:val="Compact"/>
            </w:pPr>
            <w:r>
              <w:t xml:space="preserve">$7,680.36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Medicare-Surcharge Savings (PV)</w:t>
            </w:r>
          </w:p>
        </w:tc>
        <w:tc>
          <w:tcPr/>
          <w:p>
            <w:pPr>
              <w:pStyle w:val="Compact"/>
            </w:pPr>
            <w:r>
              <w:t xml:space="preserve">$3,440.20</w:t>
            </w:r>
          </w:p>
        </w:tc>
        <w:tc>
          <w:tcPr/>
          <w:p>
            <w:pPr>
              <w:pStyle w:val="Compact"/>
            </w:pPr>
            <w:r>
              <w:t xml:space="preserve">$3,440.20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RMD Tax-Drag (FV)</w:t>
            </w:r>
          </w:p>
        </w:tc>
        <w:tc>
          <w:tcPr/>
          <w:p>
            <w:pPr>
              <w:pStyle w:val="Compact"/>
            </w:pPr>
            <w:r>
              <w:t xml:space="preserve">$6,173.72</w:t>
            </w:r>
          </w:p>
        </w:tc>
        <w:tc>
          <w:tcPr/>
          <w:p>
            <w:pPr>
              <w:pStyle w:val="Compact"/>
            </w:pPr>
            <w:r>
              <w:t xml:space="preserve">$6,173.72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RMD Tax-Drag (PV)</w:t>
            </w:r>
          </w:p>
        </w:tc>
        <w:tc>
          <w:tcPr/>
          <w:p>
            <w:pPr>
              <w:pStyle w:val="Compact"/>
            </w:pPr>
            <w:r>
              <w:t xml:space="preserve">$1,120.55</w:t>
            </w:r>
          </w:p>
        </w:tc>
        <w:tc>
          <w:tcPr/>
          <w:p>
            <w:pPr>
              <w:pStyle w:val="Compact"/>
            </w:pPr>
            <w:r>
              <w:t xml:space="preserve">$1,120.55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Annuity-Factor Multiple</w:t>
            </w:r>
          </w:p>
        </w:tc>
        <w:tc>
          <w:tcPr/>
          <w:p>
            <w:pPr>
              <w:pStyle w:val="Compact"/>
            </w:pPr>
            <w:r>
              <w:t xml:space="preserve">1.88786</w:t>
            </w:r>
          </w:p>
        </w:tc>
        <w:tc>
          <w:tcPr/>
          <w:p>
            <w:pPr>
              <w:pStyle w:val="Compact"/>
            </w:pPr>
            <w:r>
              <w:t xml:space="preserve">1.88786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 Tax-Drag (FV)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$917.08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 Tax-Drag (PV)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$485.78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Roth Contribution (FV)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$33,917.27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Cash-Flow IRR</w:t>
            </w:r>
          </w:p>
        </w:tc>
        <w:tc>
          <w:tcPr/>
          <w:p>
            <w:pPr>
              <w:pStyle w:val="Compact"/>
            </w:pPr>
            <w:r>
              <w:t xml:space="preserve">— (no outside outlay)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15.014%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Multiple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3.32186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 (yrs)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11.94</w:t>
            </w:r>
          </w:p>
        </w:tc>
      </w:tr>
    </w:tbl>
    <w:bookmarkEnd w:id="36"/>
    <w:bookmarkStart w:id="37" w:name="a.2-rmd-only-distributions"/>
    <w:p>
      <w:pPr>
        <w:pStyle w:val="Heading3"/>
      </w:pPr>
      <w:r>
        <w:t xml:space="preserve">A.2 RMD-Only Distributions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Inside</w:t>
            </w:r>
          </w:p>
        </w:tc>
        <w:tc>
          <w:tcPr/>
          <w:p>
            <w:pPr>
              <w:pStyle w:val="Compact"/>
            </w:pPr>
            <w:r>
              <w:t xml:space="preserve">Outside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 Payment Source</w:t>
            </w:r>
          </w:p>
        </w:tc>
        <w:tc>
          <w:tcPr/>
          <w:p>
            <w:pPr>
              <w:pStyle w:val="Compact"/>
            </w:pPr>
            <w:r>
              <w:t xml:space="preserve">Inside</w:t>
            </w:r>
          </w:p>
        </w:tc>
        <w:tc>
          <w:tcPr/>
          <w:p>
            <w:pPr>
              <w:pStyle w:val="Compact"/>
            </w:pPr>
            <w:r>
              <w:t xml:space="preserve">Outside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 Method</w:t>
            </w:r>
          </w:p>
        </w:tc>
        <w:tc>
          <w:tcPr/>
          <w:p>
            <w:pPr>
              <w:pStyle w:val="Compact"/>
            </w:pPr>
            <w:r>
              <w:t xml:space="preserve">RMD-Only</w:t>
            </w:r>
          </w:p>
        </w:tc>
        <w:tc>
          <w:tcPr/>
          <w:p>
            <w:pPr>
              <w:pStyle w:val="Compact"/>
            </w:pPr>
            <w:r>
              <w:t xml:space="preserve">RMD-Only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Conversion Amount</w:t>
            </w:r>
          </w:p>
        </w:tc>
        <w:tc>
          <w:tcPr/>
          <w:p>
            <w:pPr>
              <w:pStyle w:val="Compact"/>
            </w:pPr>
            <w:r>
              <w:t xml:space="preserve">$123,850.00</w:t>
            </w:r>
          </w:p>
        </w:tc>
        <w:tc>
          <w:tcPr/>
          <w:p>
            <w:pPr>
              <w:pStyle w:val="Compact"/>
            </w:pPr>
            <w:r>
              <w:t xml:space="preserve">$123,850.00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Conversion Tax</w:t>
            </w:r>
          </w:p>
        </w:tc>
        <w:tc>
          <w:tcPr/>
          <w:p>
            <w:pPr>
              <w:pStyle w:val="Compact"/>
            </w:pPr>
            <w:r>
              <w:t xml:space="preserve">$17,966.00</w:t>
            </w:r>
          </w:p>
        </w:tc>
        <w:tc>
          <w:tcPr/>
          <w:p>
            <w:pPr>
              <w:pStyle w:val="Compact"/>
            </w:pPr>
            <w:r>
              <w:t xml:space="preserve">$17,966.00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</w:t>
            </w:r>
            <w:r>
              <w:t xml:space="preserve"> </w:t>
            </w:r>
            <w:r>
              <w:rPr>
                <w:i/>
                <w:iCs/>
              </w:rPr>
              <w:t xml:space="preserve">t_C</w:t>
            </w:r>
          </w:p>
        </w:tc>
        <w:tc>
          <w:tcPr/>
          <w:p>
            <w:pPr>
              <w:pStyle w:val="Compact"/>
            </w:pPr>
            <w:r>
              <w:t xml:space="preserve">14.51%</w:t>
            </w:r>
          </w:p>
        </w:tc>
        <w:tc>
          <w:tcPr/>
          <w:p>
            <w:pPr>
              <w:pStyle w:val="Compact"/>
            </w:pPr>
            <w:r>
              <w:t xml:space="preserve">14.51%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Time-Weighted</w:t>
            </w:r>
            <w:r>
              <w:t xml:space="preserve"> </w:t>
            </w:r>
            <w:r>
              <w:rPr>
                <w:i/>
                <w:iCs/>
              </w:rPr>
              <w:t xml:space="preserve">t_D</w:t>
            </w:r>
          </w:p>
        </w:tc>
        <w:tc>
          <w:tcPr/>
          <w:p>
            <w:pPr>
              <w:pStyle w:val="Compact"/>
            </w:pPr>
            <w:r>
              <w:t xml:space="preserve">25.23%</w:t>
            </w:r>
          </w:p>
        </w:tc>
        <w:tc>
          <w:tcPr/>
          <w:p>
            <w:pPr>
              <w:pStyle w:val="Compact"/>
            </w:pPr>
            <w:r>
              <w:t xml:space="preserve">25.23%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ATCF Change (FV)</w:t>
            </w:r>
          </w:p>
        </w:tc>
        <w:tc>
          <w:tcPr/>
          <w:p>
            <w:pPr>
              <w:pStyle w:val="Compact"/>
            </w:pPr>
            <w:r>
              <w:t xml:space="preserve">$73,251.04</w:t>
            </w:r>
          </w:p>
        </w:tc>
        <w:tc>
          <w:tcPr/>
          <w:p>
            <w:pPr>
              <w:pStyle w:val="Compact"/>
            </w:pPr>
            <w:r>
              <w:t xml:space="preserve">$144,480.62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Tax-Rate Spread (PV)</w:t>
            </w:r>
          </w:p>
        </w:tc>
        <w:tc>
          <w:tcPr/>
          <w:p>
            <w:pPr>
              <w:pStyle w:val="Compact"/>
            </w:pPr>
            <w:r>
              <w:t xml:space="preserve">$13,279.95</w:t>
            </w:r>
          </w:p>
        </w:tc>
        <w:tc>
          <w:tcPr/>
          <w:p>
            <w:pPr>
              <w:pStyle w:val="Compact"/>
            </w:pPr>
            <w:r>
              <w:t xml:space="preserve">$13,279.95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Tax-Rate Spread (FV)</w:t>
            </w:r>
          </w:p>
        </w:tc>
        <w:tc>
          <w:tcPr/>
          <w:p>
            <w:pPr>
              <w:pStyle w:val="Compact"/>
            </w:pPr>
            <w:r>
              <w:t xml:space="preserve">$42,910.67</w:t>
            </w:r>
          </w:p>
        </w:tc>
        <w:tc>
          <w:tcPr/>
          <w:p>
            <w:pPr>
              <w:pStyle w:val="Compact"/>
            </w:pPr>
            <w:r>
              <w:t xml:space="preserve">$55,995.69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Medicare-Surcharge Savings (FV)</w:t>
            </w:r>
          </w:p>
        </w:tc>
        <w:tc>
          <w:tcPr/>
          <w:p>
            <w:pPr>
              <w:pStyle w:val="Compact"/>
            </w:pPr>
            <w:r>
              <w:t xml:space="preserve">$7,648.20</w:t>
            </w:r>
          </w:p>
        </w:tc>
        <w:tc>
          <w:tcPr/>
          <w:p>
            <w:pPr>
              <w:pStyle w:val="Compact"/>
            </w:pPr>
            <w:r>
              <w:t xml:space="preserve">$7,648.20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Medicare-Surcharge Savings (PV)</w:t>
            </w:r>
          </w:p>
        </w:tc>
        <w:tc>
          <w:tcPr/>
          <w:p>
            <w:pPr>
              <w:pStyle w:val="Compact"/>
            </w:pPr>
            <w:r>
              <w:t xml:space="preserve">$1,028.02</w:t>
            </w:r>
          </w:p>
        </w:tc>
        <w:tc>
          <w:tcPr/>
          <w:p>
            <w:pPr>
              <w:pStyle w:val="Compact"/>
            </w:pPr>
            <w:r>
              <w:t xml:space="preserve">$1,028.02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RMD Tax-Drag (FV)</w:t>
            </w:r>
          </w:p>
        </w:tc>
        <w:tc>
          <w:tcPr/>
          <w:p>
            <w:pPr>
              <w:pStyle w:val="Compact"/>
            </w:pPr>
            <w:r>
              <w:t xml:space="preserve">$22,692.17</w:t>
            </w:r>
          </w:p>
        </w:tc>
        <w:tc>
          <w:tcPr/>
          <w:p>
            <w:pPr>
              <w:pStyle w:val="Compact"/>
            </w:pPr>
            <w:r>
              <w:t xml:space="preserve">$22,692.17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RMD Tax-Drag (PV)</w:t>
            </w:r>
          </w:p>
        </w:tc>
        <w:tc>
          <w:tcPr/>
          <w:p>
            <w:pPr>
              <w:pStyle w:val="Compact"/>
            </w:pPr>
            <w:r>
              <w:t xml:space="preserve">$3,362.08</w:t>
            </w:r>
          </w:p>
        </w:tc>
        <w:tc>
          <w:tcPr/>
          <w:p>
            <w:pPr>
              <w:pStyle w:val="Compact"/>
            </w:pPr>
            <w:r>
              <w:t xml:space="preserve">$3,362.08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Payout Multiple</w:t>
            </w:r>
          </w:p>
        </w:tc>
        <w:tc>
          <w:tcPr/>
          <w:p>
            <w:pPr>
              <w:pStyle w:val="Compact"/>
            </w:pPr>
            <w:r>
              <w:t xml:space="preserve">3.9647</w:t>
            </w:r>
          </w:p>
        </w:tc>
        <w:tc>
          <w:tcPr/>
          <w:p>
            <w:pPr>
              <w:pStyle w:val="Compact"/>
            </w:pPr>
            <w:r>
              <w:t xml:space="preserve">3.9647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 Tax-Drag (FV)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$5,091.72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 Tax-Drag (PV)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$1,021.23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Roth Contribution (FV)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$71,229.59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Cash-Flow IRR</w:t>
            </w:r>
          </w:p>
        </w:tc>
        <w:tc>
          <w:tcPr/>
          <w:p>
            <w:pPr>
              <w:pStyle w:val="Compact"/>
            </w:pPr>
            <w:r>
              <w:t xml:space="preserve">— (no outside outlay)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11.497%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Multiple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6.7788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 (yrs)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22.97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Synthetic Roth Contribution (FV).</w:t>
      </w:r>
      <w:r>
        <w:t xml:space="preserve"> </w:t>
      </w:r>
      <w:r>
        <w:t xml:space="preserve">Outside FA = $33,917.27 =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</m:oMath>
      <w:r>
        <w:t xml:space="preserve"> </w:t>
      </w:r>
      <w:r>
        <w:t xml:space="preserve">1.88786; Outside RMD = $71,229.59 ≈ nominal 30-year (Outside − Inside) ATCF delta of $71,229.46. RMD’s larger nominal SRC reflects longer compounding — RMD’s 10-year beneficiary window compounds beyond FA’s owner-only 20 years. PV at 7% is identical ($17,966 =</w:t>
      </w:r>
      <w:r>
        <w:t xml:space="preserve"> </w:t>
      </w:r>
      <m:oMath>
        <m:r>
          <m:t>K</m:t>
        </m:r>
      </m:oMath>
      <w:r>
        <w:t xml:space="preserve">), as the §4 identity requires.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Time-weighted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higher under RMD</w:t>
      </w:r>
      <w:r>
        <w:t xml:space="preserve"> </w:t>
      </w:r>
      <w:r>
        <w:t xml:space="preserve">(25.23% vs FA’s 22.39%) because RMD’s later, larger distributions push into higher brackets.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SRC Tax-Drag</w:t>
      </w:r>
      <w:r>
        <w:t xml:space="preserve"> </w:t>
      </w:r>
      <w:r>
        <w:t xml:space="preserve">alpha is non-zero only under Outside payment — capturing the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dollars avoiding taxable-account drag.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Conversion alpha components — identical for Inside and Outside</w:t>
      </w:r>
      <w:r>
        <w:t xml:space="preserve"> </w:t>
      </w:r>
      <w:r>
        <w:t xml:space="preserve">— confirm funding-source independence under each distribution method. Alphas: Tax-Rate Spread, Medicare-Surcharge Savings, and RMD Tax-Drag.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Total ATCF (FV) differs between scenarios by the SRC’s lifetime payout.</w:t>
      </w:r>
      <w:r>
        <w:t xml:space="preserve"> </w:t>
      </w:r>
      <w:r>
        <w:t xml:space="preserve">Under FA: Outside $65,854 = Inside $31,937 + SRC $33,917.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Cash-Flow IRR</w:t>
      </w:r>
      <w:r>
        <w:t xml:space="preserve"> </w:t>
      </w:r>
      <w:r>
        <w:t xml:space="preserve">for Outside (15.0% FA, 11.5% RMD) exceeds the 7% portfolio rate because the lifetime distributions include the conversion’s alpha — rate-arbitrage spread, Medicare savings, RMD tax-drag savings, and SRC tax-drag avoidance. Inside has no out-of-pocket cash; IRR is undefined.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Draft prepared 2026-05-20. Empirical results produced by the RothGPT calculation engine.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2026-05-20T16:48:59Z</dcterms:created>
  <dcterms:modified xsi:type="dcterms:W3CDTF">2026-05-20T16:48:59Z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