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§6.1.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(§6.1)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mechanics differ only in</w:t>
      </w:r>
      <w:r>
        <w:t xml:space="preserve"> </w:t>
      </w:r>
      <w:r>
        <w:rPr>
          <w:i/>
          <w:iCs/>
        </w:rPr>
        <w:t xml:space="preserve">which</w:t>
      </w:r>
      <w:r>
        <w:t xml:space="preserve"> </w:t>
      </w:r>
      <w:r>
        <w:t xml:space="preserve">tax obligation is being settled (income tax on W-2 earnings vs. deferred tax on Traditional balances) and</w:t>
      </w:r>
      <w:r>
        <w:t xml:space="preserve"> </w:t>
      </w:r>
      <w:r>
        <w:rPr>
          <w:i/>
          <w:iCs/>
        </w:rPr>
        <w:t xml:space="preserve">when</w:t>
      </w:r>
      <w:r>
        <w:t xml:space="preserve"> </w:t>
      </w:r>
      <w:r>
        <w:t xml:space="preserve">the corresponding wrapper migration is initiated.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generalizes to a primitive principle that the SRC instantiates:</w:t>
      </w:r>
    </w:p>
    <w:p>
      <w:pPr>
        <w:pStyle w:val="BodyText"/>
      </w:pPr>
      <w:r>
        <w:rPr>
          <w:b/>
          <w:bCs/>
        </w:rPr>
        <w:t xml:space="preserve">Definition (Wrapper Migration Neutrality).</w:t>
      </w:r>
      <w:r>
        <w:t xml:space="preserve"> </w:t>
      </w:r>
      <w:r>
        <w:t xml:space="preserve">A</w:t>
      </w:r>
      <w:r>
        <w:t xml:space="preserve"> </w:t>
      </w:r>
      <w:r>
        <w:rPr>
          <w:i/>
          <w:iCs/>
        </w:rPr>
        <w:t xml:space="preserve">pure wrapper migration</w:t>
      </w:r>
      <w:r>
        <w:t xml:space="preserve"> </w:t>
      </w:r>
      <w:r>
        <w:t xml:space="preserve">is any transaction that alters the tax-wrapper composition of a household’s after-tax wealth without changing contemporaneous total after-tax household wealth. The moment of a pure wrapper migration imposes no cost — it is a reallocation, not an expense.</w:t>
      </w:r>
    </w:p>
    <w:p>
      <w:pPr>
        <w:pStyle w:val="BodyText"/>
      </w:pPr>
      <w:r>
        <w:t xml:space="preserve">Instances of the principle:</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of after-tax cash from the Bank wrapper to the Roth wrapper (implicitly, via the conversion-tax settlement mechanic), in addition to the rate-arbitrage gain captured on the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forward economic value of each migration emerges over time through the differential growth rates of the source and destination wrappers — drag in the source, no drag in the destination — but at the moment of migration, none of these transactions imposes a cost.</w:t>
      </w:r>
    </w:p>
    <w:p>
      <w:pPr>
        <w:pStyle w:val="BodyText"/>
      </w:pPr>
      <w:r>
        <w:t xml:space="preserve">The SRC framework’s</w:t>
      </w:r>
      <w:r>
        <w:t xml:space="preserve"> </w:t>
      </w:r>
      <w:r>
        <w:t xml:space="preserve">“no cost”</w:t>
      </w:r>
      <w:r>
        <w:t xml:space="preserve"> </w:t>
      </w:r>
      <w:r>
        <w:t xml:space="preserve">claim is therefore not a special-pleading exception for Roth conversions; it is the application of a general principle of wrapper migration neutrality to the conversion-tax settlement mechanic.</w:t>
      </w:r>
    </w:p>
    <w:bookmarkEnd w:id="17"/>
    <w:bookmarkStart w:id="18" w:name="definition"/>
    <w:p>
      <w:pPr>
        <w:pStyle w:val="Heading3"/>
      </w:pPr>
      <w:r>
        <w:t xml:space="preserve">3.6 Definition</w:t>
      </w:r>
    </w:p>
    <w:p>
      <w:pPr>
        <w:pStyle w:val="FirstParagraph"/>
      </w:pPr>
      <w:r>
        <w:rPr>
          <w:b/>
          <w:bCs/>
        </w:rPr>
        <w:t xml:space="preserve">Definition (SRC).</w:t>
      </w:r>
      <w:r>
        <w:t xml:space="preserve"> </w:t>
      </w:r>
      <w:r>
        <w:t xml:space="preserve">The Synthetic Roth Contribution is the dollar amount that, in the Outside-funded scenario, migrates from the taxable wrapper into the tax-free Roth wrapper at the moment of conversion-tax settlement. Its magnitude equals</w:t>
      </w:r>
      <w:r>
        <w:t xml:space="preserve"> </w:t>
      </w:r>
      <m:oMath>
        <m:r>
          <m:t>K</m:t>
        </m:r>
      </m:oMath>
      <w:r>
        <w:t xml:space="preserve">. It is economically equivalent to a same-day statutory Roth contribution of</w:t>
      </w:r>
      <w:r>
        <w:t xml:space="preserve"> </w:t>
      </w:r>
      <m:oMath>
        <m:r>
          <m:t>K</m:t>
        </m:r>
      </m:oMath>
      <w:r>
        <w:t xml:space="preserve">, but is not subject to the IRS annual contribution limit because it is not formally a contribution — it is the implicit by-product of settling the deferred tax liability from outside the retirement account.</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The annual benefit of this transition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in the simplest case where the</w:t>
      </w:r>
      <w:r>
        <w:t xml:space="preserve"> </w:t>
      </w:r>
      <m:oMath>
        <m:r>
          <m:t>K</m:t>
        </m:r>
      </m:oMath>
      <w:r>
        <w:t xml:space="preserve"> </w:t>
      </w:r>
      <w:r>
        <w:t xml:space="preserve">cash would otherwise have remained invested at</w:t>
      </w:r>
      <w:r>
        <w:t xml:space="preserve"> </w:t>
      </w:r>
      <m:oMath>
        <m:sSub>
          <m:e>
            <m:r>
              <m:t>r</m:t>
            </m:r>
          </m:e>
          <m:sub>
            <m:r>
              <m:t>d</m:t>
            </m:r>
          </m:sub>
        </m:sSub>
      </m:oMath>
      <w:r>
        <w:t xml:space="preserve">.</w:t>
      </w:r>
    </w:p>
    <w:p>
      <w:pPr>
        <w:pStyle w:val="BodyText"/>
      </w:pPr>
      <w:r>
        <w:rPr>
          <w:b/>
          <w:bCs/>
        </w:rPr>
        <w:t xml:space="preserve">Property 3 — Estate-and-beneficiary asymmetry.</w:t>
      </w:r>
      <w:r>
        <w:t xml:space="preserve"> </w:t>
      </w:r>
      <w:r>
        <w:t xml:space="preserve">Roth dollars pass to non-spouse beneficiaries free of ordinary income tax (subject to the 10-year SECURE distribution rule). Taxable wrapper dollars pass with a step-up in basis but no preferential income-tax treatment. SRC dollars therefore receive the more favorable inherited-Roth treatment.</w:t>
      </w:r>
    </w:p>
    <w:bookmarkEnd w:id="19"/>
    <w:bookmarkStart w:id="20" w:name="what-the-src-is-not"/>
    <w:p>
      <w:pPr>
        <w:pStyle w:val="Heading3"/>
      </w:pPr>
      <w:r>
        <w:t xml:space="preserve">3.8 What the SRC Is Not</w:t>
      </w:r>
    </w:p>
    <w:p>
      <w:pPr>
        <w:pStyle w:val="FirstParagraph"/>
      </w:pPr>
      <w:r>
        <w:t xml:space="preserve">The SRC is not the rate-arbitrage Core. The rate-arbitrage Core — the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w:t>
      </w:r>
      <w:r>
        <w:t xml:space="preserve">PV gain captured at conversion — is present under both Outside and Inside settlement. The SRC is a separate, additional economic component visible only under Outside settlement, and visible only as a</w:t>
      </w:r>
      <w:r>
        <w:t xml:space="preserve"> </w:t>
      </w:r>
      <w:r>
        <w:rPr>
          <w:i/>
          <w:iCs/>
        </w:rPr>
        <w:t xml:space="preserve">wrapper-composition difference</w:t>
      </w:r>
      <w:r>
        <w:t xml:space="preserve">, not as a difference in net after-tax wealth at the moment of conversion.</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that, when the discount rate equals the portfolio rate, the Outside-funded path’s net present value equals the Inside-funded path’s net present value, despite their different cash-flow timings.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Cases where the household’s personal discount rate diverges from the portfolio rate are discussed separately in §6.3.</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Marital status: single</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scenario) − ATCF(no-conversion baseline), where the conversion scenario applies the $123,850 conversion described above (which fills cumulatively through the 22% federal bracket under the assumed inputs) and the baseline applies no conversion at all.</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the two paths produce identical PV value at the portfolio rate.</w:t>
      </w:r>
    </w:p>
    <w:p>
      <w:pPr>
        <w:pStyle w:val="BodyText"/>
      </w:pPr>
      <w:r>
        <w:t xml:space="preserve">The household paid $17,966 at year 0 and received its present-value equivalent back over 20 years — at the portfolio rate. This is the algebraic identity in production-system numbers. The Outside scenario’s full-cash-flow IRR of 15.01% exceeds the portfolio rate by ~8 percentage points; this excess captures the rate-arbitrage Core, IRMAA savings, and tax-drag components that ride on top of the (PV-zero-at-7%) SRC. The Inside scenario has no outside outlay, so its full-cash-flow IRR is undefined; only the Outside path admits a meaningful IRR measurement on the</w:t>
      </w:r>
      <w:r>
        <w:t xml:space="preserve"> </w:t>
      </w:r>
      <m:oMath>
        <m:r>
          <m:t>K</m:t>
        </m:r>
      </m:oMath>
      <w:r>
        <w:t xml:space="preserve"> </w:t>
      </w:r>
      <w:r>
        <w:t xml:space="preserve">outlay.</w:t>
      </w:r>
    </w:p>
    <w:p>
      <w:r>
        <w:pict>
          <v:rect style="width:0;height:1.5pt" o:hralign="center" o:hrstd="t" o:hr="t"/>
        </w:pict>
      </w:r>
    </w:p>
    <w:bookmarkEnd w:id="25"/>
    <w:bookmarkEnd w:id="26"/>
    <w:bookmarkStart w:id="33" w:name="X2f321f8c0570938977d6c03976ef4e3bb78bcf7"/>
    <w:p>
      <w:pPr>
        <w:pStyle w:val="Heading2"/>
      </w:pPr>
      <w:r>
        <w:t xml:space="preserve">5B. Generalization to RMD-Only Distributions: Paired Inside / Outside Scenarios (RMD)</w:t>
      </w:r>
    </w:p>
    <w:p>
      <w:pPr>
        <w:pStyle w:val="FirstParagraph"/>
      </w:pPr>
      <w:r>
        <w:t xml:space="preserve">The Section 5 demonstration uses Fixed Annuity (FA) distributions, which deplete the retirement balance to zero at the end of the owner’s life. The constant-per-year SRC increment of $1,695.86 emerges from FA’s flat distribution schedule.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Same profile, same conversion (</w:t>
      </w:r>
      <m:oMath>
        <m:r>
          <m:t>C</m:t>
        </m:r>
      </m:oMath>
      <w:r>
        <w:t xml:space="preserve"> </w:t>
      </w:r>
      <w:r>
        <w:t xml:space="preserve">= $123,850,</w:t>
      </w:r>
      <w:r>
        <w:t xml:space="preserve"> </w:t>
      </w:r>
      <m:oMath>
        <m:r>
          <m:t>K</m:t>
        </m:r>
      </m:oMath>
      <w:r>
        <w:t xml:space="preserve"> </w:t>
      </w:r>
      <w:r>
        <w:t xml:space="preserve">= $17,966), same portfolio return assumption (7.00%), same 20-year owner life expectancy. RMD-Only distributions begin at the IRS-mandated age 73 (year 2030), running through age 92 (year 2049), followed by a 10-year statutory beneficiary distribution period (years 2050–2059), distributed as a constant annuity-payment stream over the 10 years (not as continued RMDs, since the inherited Roth has no annual RMD requirement under SECURE Act’s 10-year rule).</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is that the per-year</w:t>
      </w:r>
      <w:r>
        <w:t xml:space="preserve"> </w:t>
      </w:r>
      <w:r>
        <w:rPr>
          <w:b/>
          <w:bCs/>
        </w:rPr>
        <w:t xml:space="preserve">(Outside − Inside) increment is NOT constant</w:t>
      </w:r>
      <w:r>
        <w:t xml:space="preserve">. RMD distributions vary with the age-indexed divisor and with the post-conversion balance trajectory. The SRC’s per-year contribution therefore tracks RMD’s varying schedule rather than producing a flat dollar value.</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the per-year increment varying from $831 (year 2030) to $2,596 (year 2049) in the owner period and to a flat $3,901 (years 2050–2059) in the beneficiary period. The variation matters; the PV total does not.</w:t>
      </w:r>
    </w:p>
    <w:p>
      <w:pPr>
        <w:pStyle w:val="BodyText"/>
      </w:pPr>
      <w:r>
        <w:t xml:space="preserve">Compare to the FA case (§5.3), where each year’s increment was a flat $1,695.86 because FA’s distribution schedule itself is flat. RMD’s per-year increment varies because RMD’s distribution amounts vary year-by-year, which in turn modulates the year-by-year benefit of having a larger (Outside) versus smaller (Inside) starting Roth balance.</w:t>
      </w:r>
      <w:r>
        <w:t xml:space="preserve"> </w:t>
      </w:r>
      <w:r>
        <w:rPr>
          <w:b/>
          <w:bCs/>
        </w:rPr>
        <w:t xml:space="preserve">The varying per-year SRC increment is a feature of distribution-method-specific cash-flow shapes, not a violation of the SRC framework.</w:t>
      </w:r>
      <w:r>
        <w:t xml:space="preserve"> </w:t>
      </w:r>
      <w:r>
        <w:t xml:space="preserve">Across both distribution methods, the SRC’s PV at the portfolio rate equals exactly zero.</w:t>
      </w:r>
    </w:p>
    <w:bookmarkEnd w:id="29"/>
    <w:bookmarkStart w:id="30" w:name="X2c317d26497880f028adf5524dc89e526149274"/>
    <w:p>
      <w:pPr>
        <w:pStyle w:val="Heading3"/>
      </w:pPr>
      <w:r>
        <w:t xml:space="preserve">5B.4 The SRC’s Lifetime Nominal Payout — Engine Formula and Empirical Cross-Validation</w:t>
      </w:r>
    </w:p>
    <w:p>
      <w:pPr>
        <w:pStyle w:val="FirstParagraph"/>
      </w:pPr>
      <w:r>
        <w:t xml:space="preserve">The SRC’s</w:t>
      </w:r>
      <w:r>
        <w:t xml:space="preserve"> </w:t>
      </w:r>
      <w:r>
        <w:rPr>
          <w:b/>
          <w:bCs/>
        </w:rPr>
        <w:t xml:space="preserve">lifetime nominal payout</w:t>
      </w:r>
      <w:r>
        <w:t xml:space="preserve"> </w:t>
      </w:r>
      <w:r>
        <w:t xml:space="preserve">is the total of all year-by-year after-tax distributions the household receives from the Roth attributable to the conversion-tax dollar entering the Roth (the synthetic contribution). Conceptually this is the sum of the per-year (Outside − Inside) ΔATCF column over the full distribution horizon: the SRC’s nominal lifetime cash payoff.</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household’s distribution schedule. Under FA distribution,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(1.88786 in our scenario, with</w:t>
      </w:r>
      <w:r>
        <w:t xml:space="preserve"> </w:t>
      </w:r>
      <m:oMath>
        <m:r>
          <m:t>r</m:t>
        </m:r>
        <m:r>
          <m:rPr>
            <m:sty m:val="p"/>
          </m:rPr>
          <m:t>=</m:t>
        </m:r>
        <m:r>
          <m:t>7</m:t>
        </m:r>
        <m:r>
          <m:rPr>
            <m:sty m:val="p"/>
          </m:rPr>
          <m:t>%</m:t>
        </m:r>
      </m:oMath>
      <w:r>
        <w:t xml:space="preserve">,</w:t>
      </w:r>
      <w:r>
        <w:t xml:space="preserve"> </w:t>
      </w:r>
      <m:oMath>
        <m:r>
          <m:t>N</m:t>
        </m:r>
        <m:r>
          <m:rPr>
            <m:sty m:val="p"/>
          </m:rPr>
          <m:t>=</m:t>
        </m:r>
        <m:r>
          <m:t>20</m:t>
        </m:r>
      </m:oMath>
      <w:r>
        <w:t xml:space="preserve">). Under RMD distribution, it is determined empirically from the year-by-year RMD divisor schedule applied to the SRC’s</w:t>
      </w:r>
      <w:r>
        <w:t xml:space="preserve"> </w:t>
      </w:r>
      <m:oMath>
        <m:r>
          <m:t>K</m:t>
        </m:r>
      </m:oMath>
      <w:r>
        <w:t xml:space="preserve"> </w:t>
      </w:r>
      <w:r>
        <w:t xml:space="preserve">dollars. For the Outside RMD scenario, the payout multiple is 3.9647, so the lifetime nominal payout = $17,966 × 3.9647 = $71,229.59.</w:t>
      </w:r>
    </w:p>
    <w:p>
      <w:pPr>
        <w:pStyle w:val="BodyText"/>
      </w:pPr>
      <w:r>
        <w:rPr>
          <w:b/>
          <w:bCs/>
        </w:rPr>
        <w:t xml:space="preserve">What 3.9647 is.</w:t>
      </w:r>
      <w:r>
        <w:t xml:space="preserve"> </w:t>
      </w:r>
      <w:r>
        <w:t xml:space="preserve">The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(Group 1) is computed first and serves as the benchmark.</w:t>
      </w:r>
    </w:p>
    <w:p>
      <w:pPr>
        <w:pStyle w:val="BodyText"/>
      </w:pPr>
      <w:r>
        <w:rPr>
          <w:b/>
          <w:bCs/>
        </w:rPr>
        <w:t xml:space="preserve">Why the same 3.9647 appears at every cumulative bracket.</w:t>
      </w:r>
      <w:r>
        <w:t xml:space="preserve"> </w:t>
      </w:r>
      <w:r>
        <w:t xml:space="preserve">Each bracket — Group 1 (10%), Group 2 (12%), Group 3 (22%), Group 4 (the $123,850 conversion) — independently computes its own payout multiple from its own ΔATCF,</w:t>
      </w:r>
      <w:r>
        <w:t xml:space="preserve"> </w:t>
      </w:r>
      <m:oMath>
        <m:r>
          <m:t>K</m:t>
        </m:r>
      </m:oMath>
      <w:r>
        <w:t xml:space="preserve">, and rate-spread inputs. That every subsequent bracket reproduces Group 1’s benchmark value of 3.9647 is the empirical signature of the SRC framework’s internal consistency. The payout multiple is a</w:t>
      </w:r>
      <w:r>
        <w:t xml:space="preserve"> </w:t>
      </w:r>
      <w:r>
        <w:rPr>
          <w:b/>
          <w:bCs/>
        </w:rPr>
        <w:t xml:space="preserve">structural property of the household’s distribution schedule</w:t>
      </w:r>
      <w:r>
        <w:t xml:space="preserve">, not an artifact of any particular conversion size.</w:t>
      </w:r>
    </w:p>
    <w:p>
      <w:pPr>
        <w:pStyle w:val="BodyText"/>
      </w:pPr>
      <w:r>
        <w:rPr>
          <w:b/>
          <w:bCs/>
        </w:rPr>
        <w:t xml:space="preserve">Cross-validation against the year-by-year sum.</w:t>
      </w:r>
      <w:r>
        <w:t xml:space="preserve"> </w:t>
      </w:r>
      <w:r>
        <w:t xml:space="preserve">The closed-form lifetime nominal payout of $71,229.59 matches the §5B.2 table’s year-by-year nominal sum of (Outside − Inside) ΔATCF of $71,229.46 to within $0.13. Two independent computational paths — the multiplier formula and the empirical year-stream sum — converge to the same dollar amount. This is what §5B.4 demonstrates: cross-validation of the multiplier-based output against an independent empirical sum.</w:t>
      </w:r>
    </w:p>
    <w:p>
      <w:pPr>
        <w:pStyle w:val="BodyText"/>
      </w:pPr>
      <w:r>
        <w:rPr>
          <w:b/>
          <w:bCs/>
        </w:rPr>
        <w:t xml:space="preserve">Comparison to FA.</w:t>
      </w:r>
      <w:r>
        <w:t xml:space="preserve"> </w:t>
      </w:r>
      <w:r>
        <w:t xml:space="preserve">For the Outside FA scenario, the lifetime nominal payout = $17,966 × 1.88786 = $33,917.27, with the FA annuity-factor multiple of 1.88786 playing the structural role of the payout multiple under FA distribution. The RMD multiplier (3.9647) exceeds the FA multiplier (1.88786) by ~2.1× because RMD’s effective compounding horizon extends 10 years past the owner-only 20-year FA horizon (into the beneficiary period — see §5B.5). This empirical observation reinforces §6.2’s claim that the SRC’s largest practical value channel is its compounding through the inheritance period — visible under RMD method but absent under FA.</w:t>
      </w:r>
    </w:p>
    <w:bookmarkEnd w:id="30"/>
    <w:bookmarkStart w:id="31" w:name="Xe6bb372a884396a93a06cdf411b1b1253442fe8"/>
    <w:p>
      <w:pPr>
        <w:pStyle w:val="Heading3"/>
      </w:pPr>
      <w:r>
        <w:t xml:space="preserve">5B.5 Beneficiary-Period Empirical Evidence for Inheritance Asymmetry</w:t>
      </w:r>
    </w:p>
    <w:p>
      <w:pPr>
        <w:pStyle w:val="FirstParagraph"/>
      </w:pPr>
      <w:r>
        <w:t xml:space="preserve">The Outside RMD beneficiary period (years 2050–2059, ages 93–102 of the inheriting cohort) shows a flat $3,901/year (Outside − Inside) increment. Across 10 years, this contributes nominal $39,006 — 55% of the SRC’s total nominal value, a slight majority. In PV @ 7%, the beneficiary-period contribution is $5,780, or 32% of the total — less weight because of the ~30-year discount horizon back to conversion date. Both shares are non-trivial.</w:t>
      </w:r>
    </w:p>
    <w:p>
      <w:pPr>
        <w:pStyle w:val="BodyText"/>
      </w:pPr>
      <w:r>
        <w:t xml:space="preserve">The beneficiary-period $3,901/yr increment exists</w:t>
      </w:r>
      <w:r>
        <w:t xml:space="preserve"> </w:t>
      </w:r>
      <w:r>
        <w:rPr>
          <w:b/>
          <w:bCs/>
        </w:rPr>
        <w:t xml:space="preserve">only because Outside funding leaves the beneficiary’s inherited Roth balance larger by</w:t>
      </w:r>
      <w:r>
        <w:rPr>
          <w:b/>
          <w:bCs/>
        </w:rPr>
        <w:t xml:space="preserve"> </w:t>
      </w:r>
      <m:oMath>
        <m:r>
          <m:t>K</m:t>
        </m:r>
      </m:oMath>
      <w:r>
        <w:rPr>
          <w:b/>
          <w:bCs/>
        </w:rPr>
        <w:t xml:space="preserve"> </w:t>
      </w:r>
      <w:r>
        <w:rPr>
          <w:b/>
          <w:bCs/>
        </w:rPr>
        <w:t xml:space="preserve">times the growth factor at the moment of owner death</w:t>
      </w:r>
      <w:r>
        <w:t xml:space="preserve">. The 10-year statutory distribution of that excess Roth balance — entirely tax-free to the beneficiary — is the mechanism through which §6.2’s</w:t>
      </w:r>
      <w:r>
        <w:t xml:space="preserve"> </w:t>
      </w:r>
      <w:r>
        <w:t xml:space="preserve">“Roth-vs-taxable inheritance asymmetry”</w:t>
      </w:r>
      <w:r>
        <w:t xml:space="preserve"> </w:t>
      </w:r>
      <w:r>
        <w:t xml:space="preserve">channel materializes empirically. Under FA distribution, this channel is invisible because FA depletes the balance to zero at owner death; under RMD it is structurally visible.</w:t>
      </w:r>
    </w:p>
    <w:p>
      <w:pPr>
        <w:pStyle w:val="BodyText"/>
      </w:pPr>
      <w:r>
        <w:t xml:space="preserve">This fact has practical importance: the SRC’s value channel of inheritance asymmetry should not be treated as theoretical</w:t>
      </w:r>
      <w:r>
        <w:t xml:space="preserve"> </w:t>
      </w:r>
      <w:r>
        <w:t xml:space="preserve">“extra benefit”</w:t>
      </w:r>
      <w:r>
        <w:t xml:space="preserve"> </w:t>
      </w:r>
      <w:r>
        <w:t xml:space="preserve">when planning RMD-method conversions. It is empirically present and produces measurable beneficiary-period cash flows that the calculation engine captures directly.</w:t>
      </w:r>
    </w:p>
    <w:bookmarkEnd w:id="31"/>
    <w:bookmarkStart w:id="32" w:name="Xd989f50ff819d6879ade1bf069e8c99285f6a7b"/>
    <w:p>
      <w:pPr>
        <w:pStyle w:val="Heading3"/>
      </w:pPr>
      <w:r>
        <w:t xml:space="preserve">5.4 Where Outside Funding Differs from Inside</w:t>
      </w:r>
    </w:p>
    <w:p>
      <w:pPr>
        <w:pStyle w:val="FirstParagraph"/>
      </w:pPr>
      <w:r>
        <w:t xml:space="preserve">The two scenarios produce</w:t>
      </w:r>
      <w:r>
        <w:t xml:space="preserve"> </w:t>
      </w:r>
      <w:r>
        <w:rPr>
          <w:b/>
          <w:bCs/>
        </w:rPr>
        <w:t xml:space="preserve">identical</w:t>
      </w:r>
      <w:r>
        <w:t xml:space="preserve"> </w:t>
      </w:r>
      <w:r>
        <w:t xml:space="preserve">PV totals because the discount rate equals the portfolio rate. They produce</w:t>
      </w:r>
      <w:r>
        <w:t xml:space="preserve"> </w:t>
      </w:r>
      <w:r>
        <w:rPr>
          <w:b/>
          <w:bCs/>
        </w:rPr>
        <w:t xml:space="preserve">different</w:t>
      </w:r>
      <w:r>
        <w:t xml:space="preserve"> </w:t>
      </w:r>
      <w:r>
        <w:t xml:space="preserve">nominal lifetime totals because Outside funding migrates</w:t>
      </w:r>
      <w:r>
        <w:t xml:space="preserve"> </w:t>
      </w:r>
      <m:oMath>
        <m:r>
          <m:t>K</m:t>
        </m:r>
      </m:oMath>
      <w:r>
        <w:t xml:space="preserve"> </w:t>
      </w:r>
      <w:r>
        <w:t xml:space="preserve">of taxable-wrapper dollars into a tax-free wrapper at the conversion moment. Over 20 years, that wrapper transition is the SRC’s tangible benefit:</w:t>
      </w:r>
    </w:p>
    <w:p>
      <w:pPr>
        <w:pStyle w:val="Compact"/>
        <w:numPr>
          <w:ilvl w:val="0"/>
          <w:numId w:val="1004"/>
        </w:numPr>
      </w:pPr>
      <w:r>
        <w:t xml:space="preserve">The household’s total nominal cash inflow is $34,034 − $18,083 =</w:t>
      </w:r>
      <w:r>
        <w:t xml:space="preserve"> </w:t>
      </w:r>
      <w:r>
        <w:rPr>
          <w:b/>
          <w:bCs/>
        </w:rPr>
        <w:t xml:space="preserve">+$15,951 higher</w:t>
      </w:r>
      <w:r>
        <w:t xml:space="preserve"> </w:t>
      </w:r>
      <w:r>
        <w:t xml:space="preserve">under Outside funding (Section 5.1 totals)</w:t>
      </w:r>
    </w:p>
    <w:p>
      <w:pPr>
        <w:pStyle w:val="Compact"/>
        <w:numPr>
          <w:ilvl w:val="0"/>
          <w:numId w:val="1004"/>
        </w:numPr>
      </w:pPr>
      <w:r>
        <w:t xml:space="preserve">This $15,951 represents the household receiving back $1,696/year for 20 years (= $33,920 nominal) on a $17,966 outflow at year 0</w:t>
      </w:r>
    </w:p>
    <w:p>
      <w:pPr>
        <w:pStyle w:val="Compact"/>
        <w:numPr>
          <w:ilvl w:val="0"/>
          <w:numId w:val="1004"/>
        </w:numPr>
      </w:pPr>
      <w:r>
        <w:t xml:space="preserve">Net nominal: $33,920 − $17,966 = $15,954 (rounding-equivalent to the table’s $15,951)</w:t>
      </w:r>
    </w:p>
    <w:p>
      <w:pPr>
        <w:pStyle w:val="Compact"/>
        <w:numPr>
          <w:ilvl w:val="0"/>
          <w:numId w:val="1004"/>
        </w:numPr>
      </w:pPr>
      <w:r>
        <w:t xml:space="preserve">In present-value terms, this $15,951 is exactly the time-value-of-money the household earned on the $17,966 — i.e., it is</w:t>
      </w:r>
      <w:r>
        <w:t xml:space="preserve"> </w:t>
      </w:r>
      <w:r>
        <w:rPr>
          <w:b/>
          <w:bCs/>
        </w:rPr>
        <w:t xml:space="preserve">not extra wealth at the portfolio discount rate</w:t>
      </w:r>
    </w:p>
    <w:p>
      <w:pPr>
        <w:pStyle w:val="FirstParagraph"/>
      </w:pPr>
      <w:r>
        <w:t xml:space="preserve">The SRC’s economic significance therefore lies elsewhere, captured in the next subsection.</w:t>
      </w:r>
    </w:p>
    <w:p>
      <w:r>
        <w:pict>
          <v:rect style="width:0;height:1.5pt" o:hralign="center" o:hrstd="t" o:hr="t"/>
        </w:pict>
      </w:r>
    </w:p>
    <w:bookmarkEnd w:id="32"/>
    <w:bookmarkEnd w:id="33"/>
    <w:bookmarkStart w:id="37" w:name="where-the-src-has-real-value"/>
    <w:p>
      <w:pPr>
        <w:pStyle w:val="Heading2"/>
      </w:pPr>
      <w:r>
        <w:t xml:space="preserve">6. Where the SRC Has Real Value</w:t>
      </w:r>
    </w:p>
    <w:p>
      <w:pPr>
        <w:pStyle w:val="FirstParagraph"/>
      </w:pPr>
      <w:r>
        <w:t xml:space="preserve">Section 4 proved that the SRC present value is zero when the discount rate equals the portfolio rate. This makes the SRC appear neutral. It is not. The SRC has real economic value through three channels that escape a pure PV-at-portfolio-rate framing.</w:t>
      </w:r>
    </w:p>
    <w:bookmarkStart w:id="34" w:name="tax-drag-differential"/>
    <w:p>
      <w:pPr>
        <w:pStyle w:val="Heading3"/>
      </w:pPr>
      <w:r>
        <w:t xml:space="preserve">6.1 Tax-Drag Differential</w:t>
      </w:r>
    </w:p>
    <w:p>
      <w:pPr>
        <w:pStyle w:val="FirstParagraph"/>
      </w:pPr>
      <w:r>
        <w:t xml:space="preserve">Inside the Roth wrapper, every dollar compounds at the asset’s full pre-tax return</w:t>
      </w:r>
      <w:r>
        <w:t xml:space="preserve"> </w:t>
      </w:r>
      <m:oMath>
        <m:r>
          <m:t>r</m:t>
        </m:r>
      </m:oMath>
      <w:r>
        <w:t xml:space="preserve">. Outside the wrapper — in a taxable bank or brokerage account — the same dollar pays tax on dividends, interest, realized capital gains, and turnover-driven distributions every year, compounding instead at an effective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for some drag fraction</w:t>
      </w:r>
      <w:r>
        <w:t xml:space="preserve"> </w:t>
      </w:r>
      <m:oMath>
        <m:r>
          <m:t>d</m:t>
        </m:r>
      </m:oMath>
      <w:r>
        <w:t xml:space="preserve"> </w:t>
      </w:r>
      <w:r>
        <w:t xml:space="preserve">representing the proportion of return lost annually to taxation. This paper’s scenarios use</w:t>
      </w:r>
      <w:r>
        <w:t xml:space="preserve"> </w:t>
      </w:r>
      <m:oMath>
        <m:r>
          <m:t>d</m:t>
        </m:r>
        <m:r>
          <m:rPr>
            <m:sty m:val="p"/>
          </m:rPr>
          <m:t>=</m:t>
        </m:r>
        <m:r>
          <m:t>5</m:t>
        </m:r>
        <m:r>
          <m:rPr>
            <m:sty m:val="p"/>
          </m:rPr>
          <m:t>%</m:t>
        </m:r>
      </m:oMath>
      <w:r>
        <w:t xml:space="preserve"> </w:t>
      </w:r>
      <w:r>
        <w:t xml:space="preserve">— i.e., a 7.0% pre-tax return becomes a 6.65% after-drag return, or 35 basis points per year in absolute terms. The differential is small per year and compounds non-trivially over multi-decade retirement horizons.</w:t>
      </w:r>
    </w:p>
    <w:p>
      <w:pPr>
        <w:pStyle w:val="BodyText"/>
      </w:pPr>
      <w:r>
        <w:t xml:space="preserve">Under Outside payment, the</w:t>
      </w:r>
      <w:r>
        <w:t xml:space="preserve"> </w:t>
      </w:r>
      <m:oMath>
        <m:r>
          <m:t>K</m:t>
        </m:r>
      </m:oMath>
      <w:r>
        <w:t xml:space="preserve"> </w:t>
      </w:r>
      <w:r>
        <w:t xml:space="preserve">dollars migrate from the taxable wrapper into the Roth — the Synthetic Roth Contribution defined in §3. Those dollars now compound at</w:t>
      </w:r>
      <w:r>
        <w:t xml:space="preserve"> </w:t>
      </w:r>
      <m:oMath>
        <m:r>
          <m:t>r</m:t>
        </m:r>
      </m:oMath>
      <w:r>
        <w:t xml:space="preserve"> </w:t>
      </w:r>
      <w:r>
        <w:t xml:space="preserve">instead of</w:t>
      </w:r>
      <w:r>
        <w:t xml:space="preserve"> </w:t>
      </w:r>
      <m:oMath>
        <m:sSub>
          <m:e>
            <m:r>
              <m:t>r</m:t>
            </m:r>
          </m:e>
          <m:sub>
            <m:r>
              <m:t>d</m:t>
            </m:r>
          </m:sub>
        </m:sSub>
      </m:oMath>
      <w:r>
        <w:t xml:space="preserve">. The drag-avoidance value is the lifetime PV/FV differential of the SRC compounding at</w:t>
      </w:r>
      <w:r>
        <w:t xml:space="preserve"> </w:t>
      </w:r>
      <m:oMath>
        <m:r>
          <m:t>r</m:t>
        </m:r>
      </m:oMath>
      <w:r>
        <w:t xml:space="preserve"> </w:t>
      </w:r>
      <w:r>
        <w:t xml:space="preserve">versus a taxable-wrapper counterfactual compounding at</w:t>
      </w:r>
      <w:r>
        <w:t xml:space="preserve"> </w:t>
      </w:r>
      <m:oMath>
        <m:sSub>
          <m:e>
            <m:r>
              <m:t>r</m:t>
            </m:r>
          </m:e>
          <m:sub>
            <m:r>
              <m:t>d</m:t>
            </m:r>
          </m:sub>
        </m:sSub>
      </m:oMath>
      <w:r>
        <w:t xml:space="preserve">. This component exists only under Outside payment — Inside payment moves no dollars from the taxable wrapper, so no drag-avoidance accrues.</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The RMD-scenario values exceed the FA-scenario values on both metrics. The owner 20 years plus beneficiary 10 years horizon keeps the SRC dollars compounding inside the Roth wrapper longer before distribution than FA’s 20-year owner-only horizon, producing a larger cumulative drag-avoidance differential. The FV ratio (~5.5×) is larger than the PV ratio (~2.1×) because the additional drag-avoidance accruing in the beneficiary period is heavily discounted back across 30 years at the portfolio rate.</w:t>
      </w:r>
    </w:p>
    <w:bookmarkEnd w:id="34"/>
    <w:bookmarkStart w:id="35" w:name="estate-beneficiary-asymmetry"/>
    <w:p>
      <w:pPr>
        <w:pStyle w:val="Heading3"/>
      </w:pPr>
      <w:r>
        <w:t xml:space="preserve">6.2 Estate / Beneficiary Asymmetry</w:t>
      </w:r>
    </w:p>
    <w:p>
      <w:pPr>
        <w:pStyle w:val="FirstParagraph"/>
      </w:pPr>
      <w:r>
        <w:t xml:space="preserve">Roth dollars passed to a non-spouse beneficiary distribute over a 10-year window with no income tax. Taxable-account dollars receive a step-up in basis at death but no income-tax preference for the inheritor. For an estate that will pass to children or non-spouse heirs, the SRC effectively converts taxable-inheritance-bracket future dollars into tax-free-inheritance dollars.</w:t>
      </w:r>
    </w:p>
    <w:p>
      <w:pPr>
        <w:pStyle w:val="BodyText"/>
      </w:pPr>
      <w:r>
        <w:t xml:space="preserve">§5B.5 provides direct empirical evidence for this channel under RMD distributions. The Outside RMD beneficiary period (years 2050–2059) shows a constant $3,901/year ATCF advantage of Outside over Inside — entirely the product of Outside’s larger inherited Roth balance at the moment of owner death (the SRC has compounded for 20 years). This contributes $39,006 of nominal SRC value over the 10-year statutory distribution window, or 55% of the total SRC value across the full 30-year horizon. The PV-at-portfolio-rate share is $5,780 (32% of total). When the discount rate equals the portfolio rate, the inheritance channel still nets to zero (the algebraic identity holds across the full horizon as shown in §5B.3); but the channel is tangible, observable, and shifts the timing of when the SRC value is realized. Households evaluating Roth conversions for estate-planning purposes — a substantial subset of practitioner cases — should treat this beneficiary-period contribution as a first-class component of the conversion’s value, not a footnote.</w:t>
      </w:r>
    </w:p>
    <w:p>
      <w:pPr>
        <w:pStyle w:val="BodyText"/>
      </w:pPr>
      <w:r>
        <w:t xml:space="preserve">Under FA distribution (§5), the inheritance channel does not appear because FA depletes the balance to zero at owner death. The SRC’s owner-period contribution still exists but the inheritance channel is absent by construction. RMD’s 10-year beneficiary distribution makes the inheritance channel structurally visible.</w:t>
      </w:r>
    </w:p>
    <w:bookmarkEnd w:id="35"/>
    <w:bookmarkStart w:id="36" w:name="discount-rate-mismatch"/>
    <w:p>
      <w:pPr>
        <w:pStyle w:val="Heading3"/>
      </w:pPr>
      <w:r>
        <w:t xml:space="preserve">6.3 Discount-Rate Mismatch</w:t>
      </w:r>
    </w:p>
    <w:p>
      <w:pPr>
        <w:pStyle w:val="FirstParagraph"/>
      </w:pPr>
      <w:r>
        <w:t xml:space="preserve">For households whose marginal cost of capital (or marginal time preference for consumption) differs from the portfolio’s expected return, the PV identity in Section 4 no longer holds. If a household discounts future consumption at a rate</w:t>
      </w:r>
      <w:r>
        <w:t xml:space="preserve"> </w:t>
      </w:r>
      <m:oMath>
        <m:r>
          <m:t>ρ</m:t>
        </m:r>
        <m:r>
          <m:rPr>
            <m:sty m:val="p"/>
          </m:rPr>
          <m:t>&gt;</m:t>
        </m:r>
        <m:r>
          <m:t>r</m:t>
        </m:r>
      </m:oMath>
      <w:r>
        <w:t xml:space="preserve">, the SRC produces negative PV (worse than the portfolio’s growth). If</w:t>
      </w:r>
      <w:r>
        <w:t xml:space="preserve"> </w:t>
      </w:r>
      <m:oMath>
        <m:r>
          <m:t>ρ</m:t>
        </m:r>
        <m:r>
          <m:rPr>
            <m:sty m:val="p"/>
          </m:rPr>
          <m:t>&lt;</m:t>
        </m:r>
        <m:r>
          <m:t>r</m:t>
        </m:r>
      </m:oMath>
      <w:r>
        <w:t xml:space="preserve">, positive PV. In practice, retirees are typically risk-averse with personal discount rates close to or below the portfolio’s expected return, making the SRC neutral-to-favorable in PV terms even before including 6.1 and 6.2.</w:t>
      </w:r>
    </w:p>
    <w:p>
      <w:r>
        <w:pict>
          <v:rect style="width:0;height:1.5pt" o:hralign="center" o:hrstd="t" o:hr="t"/>
        </w:pict>
      </w:r>
    </w:p>
    <w:bookmarkEnd w:id="36"/>
    <w:bookmarkEnd w:id="37"/>
    <w:bookmarkStart w:id="38"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6"/>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that the conversion eliminates by shrinking the Traditional balance; present for both Inside and Outside conversions, since the RMD reduction follows from the conversion event itself, not the funding source). An Inside conversion is rational if the sum of these alpha components is PV-positive, since Inside funding requires no outside cash outlay.</w:t>
      </w:r>
    </w:p>
    <w:p>
      <w:pPr>
        <w:numPr>
          <w:ilvl w:val="0"/>
          <w:numId w:val="1006"/>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tax-drag-differential alpha of §6.1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8"/>
    <w:bookmarkStart w:id="39"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 The 10-year beneficiary period contributes $3,901/yr of SRC value — direct empirical evidence of the inheritance-asymmetry channel discussed in §6.2.</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(a) the tax-drag differential between Roth and taxable wrappers, (b) the favorable inheritance treatment of Roth balances, and (c) deviations between the household’s personal discount rate and the portfolio’s expected return.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9"/>
    <w:bookmarkStart w:id="40"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40"/>
    <w:bookmarkStart w:id="43" w:name="X1fb9906062232a1c9ed64da0711341d859c89e8"/>
    <w:p>
      <w:pPr>
        <w:pStyle w:val="Heading2"/>
      </w:pPr>
      <w:r>
        <w:t xml:space="preserve">Appendix A: Selected Values from All Four Scenarios</w:t>
      </w:r>
    </w:p>
    <w:bookmarkStart w:id="41"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41"/>
    <w:bookmarkStart w:id="42"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8"/>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8"/>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8"/>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8"/>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8"/>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8"/>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8"/>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2026-05-14T14:37:33Z</dcterms:created>
  <dcterms:modified xsi:type="dcterms:W3CDTF">2026-05-14T14:37:33Z</dcterms:modified>
</cp:coreProperties>
</file>

<file path=docProps/custom.xml><?xml version="1.0" encoding="utf-8"?>
<Properties xmlns="http://schemas.openxmlformats.org/officeDocument/2006/custom-properties" xmlns:vt="http://schemas.openxmlformats.org/officeDocument/2006/docPropsVTypes"/>
</file>