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Working draft — 2026-05-06</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and Social Security / IRMAA / tax-drag interactions.</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 full</w:t>
      </w:r>
      <w:r>
        <w:t xml:space="preserve"> </w:t>
      </w:r>
      <m:oMath>
        <m:r>
          <m:t>C</m:t>
        </m:r>
      </m:oMath>
      <w:r>
        <w:t xml:space="preserve">.</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(an additional pre-tax distribution in the conversion year). The Roth receives</w:t>
      </w:r>
      <w:r>
        <w:t xml:space="preserve"> </w:t>
      </w:r>
      <m:oMath>
        <m:r>
          <m:t>C</m:t>
        </m:r>
        <m:r>
          <m:rPr>
            <m:sty m:val="p"/>
          </m:rPr>
          <m:t>−</m:t>
        </m:r>
        <m:r>
          <m:t>K</m:t>
        </m:r>
      </m:oMath>
      <w:r>
        <w:t xml:space="preserve">. No taxable-account dollars are spent.</w:t>
      </w:r>
    </w:p>
    <w:p>
      <w:pPr>
        <w:pStyle w:val="FirstParagraph"/>
      </w:pPr>
      <w:r>
        <w:t xml:space="preserve">The Traditional balance is reduced equally in both scenarios by</w:t>
      </w:r>
      <w:r>
        <w:t xml:space="preserve"> </w:t>
      </w:r>
      <m:oMath>
        <m:r>
          <m:t>C</m:t>
        </m:r>
      </m:oMath>
      <w:r>
        <w:t xml:space="preserve">, with an additional</w:t>
      </w:r>
      <w:r>
        <w:t xml:space="preserve"> </w:t>
      </w:r>
      <m:oMath>
        <m:r>
          <m:t>K</m:t>
        </m:r>
      </m:oMath>
      <w:r>
        <w:t xml:space="preserve"> </w:t>
      </w:r>
      <w:r>
        <w:t xml:space="preserve">consumed from Traditional only in the Inside case.</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settlement-options"/>
    <w:p>
      <w:pPr>
        <w:pStyle w:val="Heading3"/>
      </w:pPr>
      <w:r>
        <w:t xml:space="preserve">3.3 Two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converted balance. The Trad gross is reduced by</w:t>
      </w:r>
      <w:r>
        <w:t xml:space="preserve"> </w:t>
      </w:r>
      <m:oMath>
        <m:r>
          <m:t>C</m:t>
        </m:r>
        <m:r>
          <m:rPr>
            <m:sty m:val="p"/>
          </m:rPr>
          <m:t>+</m:t>
        </m:r>
        <m:r>
          <m:t>K</m:t>
        </m:r>
      </m:oMath>
      <w:r>
        <w:t xml:space="preserve"> </w:t>
      </w:r>
      <w:r>
        <w:t xml:space="preserve">= $122,000: $100,000 of converted principal moves to Roth, $22,000 is withheld and remitted to the tax authority. The Roth holds $78,000 (the converted principal less the withheld conversion tax); the Bank’s $22,000 reserve remains untouched.</w:t>
      </w:r>
    </w:p>
    <w:p>
      <w:pPr>
        <w:pStyle w:val="BodyText"/>
      </w:pPr>
      <w:r>
        <w:rPr>
          <w:b/>
          <w:bCs/>
        </w:rPr>
        <w:t xml:space="preserve">Option B — Outside funding.</w:t>
      </w:r>
      <w:r>
        <w:t xml:space="preserve"> </w:t>
      </w:r>
      <w:r>
        <w:t xml:space="preserve">The settlement is paid from the Bank reserve. The Trad gross is reduced by</w:t>
      </w:r>
      <w:r>
        <w:t xml:space="preserve"> </w:t>
      </w:r>
      <m:oMath>
        <m:r>
          <m:t>C</m:t>
        </m:r>
      </m:oMath>
      <w:r>
        <w:t xml:space="preserve"> </w:t>
      </w:r>
      <w:r>
        <w:t xml:space="preserve">= $100,000: all $100,000 of converted principal moves to Roth. The Bank’s $22,000 reserve transfers to the tax authority as the conversion-tax settlement.</w:t>
      </w:r>
    </w:p>
    <w:p>
      <w:pPr>
        <w:pStyle w:val="BodyText"/>
      </w:pPr>
      <w:r>
        <w:t xml:space="preserve">Both options extinguish the same deferred-tax liability, capture the same $3,000 rate-arbitrage gain in net after-tax wealth, and leave the household at the same total wealth of $100,000: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two options differ only in</w:t>
      </w:r>
      <w:r>
        <w:t xml:space="preserve"> </w:t>
      </w:r>
      <w:r>
        <w:rPr>
          <w:b/>
          <w:bCs/>
        </w:rPr>
        <w:t xml:space="preserve">wrapper composition</w:t>
      </w:r>
      <w:r>
        <w:t xml:space="preserve">. The $22,000 wrapper-composition difference between Outside and Inside — $22K more in Roth, $22K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re-wrapped</w:t>
      </w:r>
      <w:r>
        <w:t xml:space="preserve"> </w:t>
      </w:r>
      <w:r>
        <w:t xml:space="preserve">$22,000 of after-tax cash from a tax-drag-bearing Bank wrapper into a tax-free Roth wrapper.</w:t>
      </w:r>
    </w:p>
    <w:bookmarkEnd w:id="15"/>
    <w:bookmarkStart w:id="16" w:name="symmetry-to-statutory-roth-contributions"/>
    <w:p>
      <w:pPr>
        <w:pStyle w:val="Heading3"/>
      </w:pPr>
      <w:r>
        <w:t xml:space="preserve">3.4 Symmetry to Statutory Roth Contributions</w:t>
      </w:r>
    </w:p>
    <w:p>
      <w:pPr>
        <w:pStyle w:val="FirstParagraph"/>
      </w:pPr>
      <w:r>
        <w:t xml:space="preserve">The</w:t>
      </w:r>
      <w:r>
        <w:t xml:space="preserve"> </w:t>
      </w:r>
      <w:r>
        <w:t xml:space="preserve">“no cost”</w:t>
      </w:r>
      <w:r>
        <w:t xml:space="preserve"> </w:t>
      </w:r>
      <w:r>
        <w:t xml:space="preserve">framing of the SRC has a direct structural analogue in the statutory Roth contribution.</w:t>
      </w:r>
    </w:p>
    <w:p>
      <w:pPr>
        <w:pStyle w:val="BodyText"/>
      </w:pPr>
      <w:r>
        <w:t xml:space="preserve">A household that contributes $22,000 to a Roth 401K from after-tax Bank cash performs an explicit wrapper migration: $22,000 of after-tax cash that previously sat in the Bank wrapper now sits in the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 settled at the household’s marginal rate. The contribution itself is wrapper migration alone, with no reduction in after-tax wealth at the migration moment.</w:t>
      </w:r>
    </w:p>
    <w:p>
      <w:pPr>
        <w:pStyle w:val="BodyText"/>
      </w:pPr>
      <w:r>
        <w:t xml:space="preserve">The SRC mechanic is the same wrapper migration, performed implicitly via the conversion-tax settlement. The tax that the household pays to settle the deferred Traditional liability is not a</w:t>
      </w:r>
      <w:r>
        <w:t xml:space="preserve"> </w:t>
      </w:r>
      <w:r>
        <w:t xml:space="preserve">“cost of the conversion”</w:t>
      </w:r>
      <w:r>
        <w:t xml:space="preserve"> </w:t>
      </w:r>
      <w:r>
        <w:t xml:space="preserve">any more than the income tax paid on W-2 earnings is a</w:t>
      </w:r>
      <w:r>
        <w:t xml:space="preserve"> </w:t>
      </w:r>
      <w:r>
        <w:t xml:space="preserve">“cost of the Roth contribution.”</w:t>
      </w:r>
      <w:r>
        <w:t xml:space="preserve"> </w:t>
      </w:r>
      <w:r>
        <w:t xml:space="preserve">Both are settlements of tax obligations that were always owed; both leave after-tax wealth unchanged at the wrapper-migration moment; both produce the same prospective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mechanics differ only in</w:t>
      </w:r>
      <w:r>
        <w:t xml:space="preserve"> </w:t>
      </w:r>
      <w:r>
        <w:rPr>
          <w:i/>
          <w:iCs/>
        </w:rPr>
        <w:t xml:space="preserve">which</w:t>
      </w:r>
      <w:r>
        <w:t xml:space="preserve"> </w:t>
      </w:r>
      <w:r>
        <w:t xml:space="preserve">tax obligation is being settled (income tax on W-2 earnings vs. deferred tax on Traditional balances) and</w:t>
      </w:r>
      <w:r>
        <w:t xml:space="preserve"> </w:t>
      </w:r>
      <w:r>
        <w:rPr>
          <w:i/>
          <w:iCs/>
        </w:rPr>
        <w:t xml:space="preserve">when</w:t>
      </w:r>
      <w:r>
        <w:t xml:space="preserve"> </w:t>
      </w:r>
      <w:r>
        <w:t xml:space="preserve">the corresponding wrapper migration is initiated.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generalizes to a primitive principle that the SRC instantiates:</w:t>
      </w:r>
    </w:p>
    <w:p>
      <w:pPr>
        <w:pStyle w:val="BodyText"/>
      </w:pPr>
      <w:r>
        <w:rPr>
          <w:b/>
          <w:bCs/>
        </w:rPr>
        <w:t xml:space="preserve">Definition (Wrapper Migration Neutrality).</w:t>
      </w:r>
      <w:r>
        <w:t xml:space="preserve"> </w:t>
      </w:r>
      <w:r>
        <w:t xml:space="preserve">A</w:t>
      </w:r>
      <w:r>
        <w:t xml:space="preserve"> </w:t>
      </w:r>
      <w:r>
        <w:rPr>
          <w:i/>
          <w:iCs/>
        </w:rPr>
        <w:t xml:space="preserve">pure wrapper migration</w:t>
      </w:r>
      <w:r>
        <w:t xml:space="preserve"> </w:t>
      </w:r>
      <w:r>
        <w:t xml:space="preserve">is any transaction that alters the tax-wrapper composition of a household’s after-tax wealth without changing contemporaneous total after-tax household wealth. The moment of a pure wrapper migration imposes no cost — it is a reallocation, not an expense.</w:t>
      </w:r>
    </w:p>
    <w:p>
      <w:pPr>
        <w:pStyle w:val="BodyText"/>
      </w:pPr>
      <w:r>
        <w:t xml:space="preserve">Instances of the principle:</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of after-tax cash from the Bank wrapper to the Roth wrapper (implicitly, via the conversion-tax settlement mechanic), in addition to the rate-arbitrage gain captured on the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forward economic value of each migration emerges over time through the differential growth rates of the source and destination wrappers — drag in the source, no drag in the destination — but at the moment of migration, none of these transactions imposes a cost.</w:t>
      </w:r>
    </w:p>
    <w:p>
      <w:pPr>
        <w:pStyle w:val="BodyText"/>
      </w:pPr>
      <w:r>
        <w:t xml:space="preserve">The SRC framework’s</w:t>
      </w:r>
      <w:r>
        <w:t xml:space="preserve"> </w:t>
      </w:r>
      <w:r>
        <w:t xml:space="preserve">“no cost”</w:t>
      </w:r>
      <w:r>
        <w:t xml:space="preserve"> </w:t>
      </w:r>
      <w:r>
        <w:t xml:space="preserve">claim is therefore not a special-pleading exception for Roth conversions; it is the application of a general principle of wrapper migration neutrality to the conversion-tax settlement mechanic.</w:t>
      </w:r>
    </w:p>
    <w:bookmarkEnd w:id="17"/>
    <w:bookmarkStart w:id="18" w:name="definition"/>
    <w:p>
      <w:pPr>
        <w:pStyle w:val="Heading3"/>
      </w:pPr>
      <w:r>
        <w:t xml:space="preserve">3.6 Definition</w:t>
      </w:r>
    </w:p>
    <w:p>
      <w:pPr>
        <w:pStyle w:val="FirstParagraph"/>
      </w:pPr>
      <w:r>
        <w:rPr>
          <w:b/>
          <w:bCs/>
        </w:rPr>
        <w:t xml:space="preserve">Definition (SRC).</w:t>
      </w:r>
      <w:r>
        <w:t xml:space="preserve"> </w:t>
      </w:r>
      <w:r>
        <w:t xml:space="preserve">The Synthetic Roth Contribution is the dollar amount that, in the Outside-funded scenario, migrates from the taxable wrapper into the tax-free Roth wrapper at the moment of conversion-tax settlement. Its magnitude equals</w:t>
      </w:r>
      <w:r>
        <w:t xml:space="preserve"> </w:t>
      </w:r>
      <m:oMath>
        <m:r>
          <m:t>K</m:t>
        </m:r>
      </m:oMath>
      <w:r>
        <w:t xml:space="preserve">. It is economically equivalent to a same-day statutory Roth contribution of</w:t>
      </w:r>
      <w:r>
        <w:t xml:space="preserve"> </w:t>
      </w:r>
      <m:oMath>
        <m:r>
          <m:t>K</m:t>
        </m:r>
      </m:oMath>
      <w:r>
        <w:t xml:space="preserve">, but is not subject to the IRS annual contribution limit because it is not formally a contribution — it is the implicit by-product of settling the deferred tax liability from outside the retirement account.</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The annual benefit of this transition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in the simplest case where the</w:t>
      </w:r>
      <w:r>
        <w:t xml:space="preserve"> </w:t>
      </w:r>
      <m:oMath>
        <m:r>
          <m:t>K</m:t>
        </m:r>
      </m:oMath>
      <w:r>
        <w:t xml:space="preserve"> </w:t>
      </w:r>
      <w:r>
        <w:t xml:space="preserve">cash would otherwise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 Core. The rate-arbitrage Core — the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w:t>
      </w:r>
      <w:r>
        <w:t xml:space="preserve">PV gain captured at conversion — is present under both Outside and Inside settlement. The SRC is a separate, additional economic component visible only under Outside settlement, and visible only as a</w:t>
      </w:r>
      <w:r>
        <w:t xml:space="preserve"> </w:t>
      </w:r>
      <w:r>
        <w:rPr>
          <w:i/>
          <w:iCs/>
        </w:rPr>
        <w:t xml:space="preserve">wrapper-composition difference</w:t>
      </w:r>
      <w:r>
        <w:t xml:space="preserve">, not as a difference in net after-tax wealth at the moment of conversion.</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that, when the discount rate equals the portfolio rate, the Outside-funded path’s net present value equals the Inside-funded path’s net present value, despite their different cash-flow timings.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IRMAA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 The application separates ΔATCF into three sub-streams (distribution-driven ATCF excluding IRMAA; IRMAA savings; reduced-RMD tax drag); to isolate the SRC effect cleanly we work with the distribution-driven ATCF excluding IRMAA.</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 ex-IRMAA</w:t>
            </w:r>
          </w:p>
        </w:tc>
        <w:tc>
          <w:tcPr/>
          <w:p>
            <w:pPr>
              <w:pStyle w:val="Compact"/>
            </w:pPr>
            <w:r>
              <w:t xml:space="preserve">Outside ΔATCF ex-IRMAA</w:t>
            </w:r>
          </w:p>
        </w:tc>
        <w:tc>
          <w:tcPr/>
          <w:p>
            <w:pPr>
              <w:pStyle w:val="Compact"/>
            </w:pPr>
            <w:r>
              <w:t xml:space="preserve">Outside − Inside</w:t>
            </w:r>
          </w:p>
        </w:tc>
        <w:tc>
          <w:tcPr/>
          <w:p>
            <w:pPr>
              <w:pStyle w:val="Compact"/>
            </w:pPr>
            <w:r>
              <w:t xml:space="preserve">Predicted increment</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year-0 outflow</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$1,695.86 ✓</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$1,695.86 ✓</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$1,695.86 ✓</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$1,695.86 ✓</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$1,695.86 ✓</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p>
        </w:tc>
      </w:tr>
      <w:tr>
        <w:tc>
          <w:tcPr/>
          <w:p>
            <w:pPr>
              <w:pStyle w:val="Compact"/>
            </w:pPr>
            <w:r>
              <w:rPr>
                <w:b/>
                <w:bCs/>
              </w:rPr>
              <w:t xml:space="preserve">20-yr PV @ 7%</w:t>
            </w:r>
          </w:p>
        </w:tc>
        <w:tc>
          <w:tcPr/>
          <w:p>
            <w:pPr>
              <w:pStyle w:val="Compact"/>
            </w:pPr>
          </w:p>
        </w:tc>
        <w:tc>
          <w:tcPr/>
          <w:p>
            <w:pPr>
              <w:pStyle w:val="Compact"/>
            </w:pPr>
            <w:r>
              <w:rPr>
                <w:b/>
                <w:bCs/>
              </w:rPr>
              <w:t xml:space="preserve">$9,766</w:t>
            </w:r>
          </w:p>
        </w:tc>
        <w:tc>
          <w:tcPr/>
          <w:p>
            <w:pPr>
              <w:pStyle w:val="Compact"/>
            </w:pPr>
            <w:r>
              <w:rPr>
                <w:b/>
                <w:bCs/>
              </w:rPr>
              <w:t xml:space="preserve">$9,766</w:t>
            </w:r>
          </w:p>
        </w:tc>
        <w:tc>
          <w:tcPr/>
          <w:p>
            <w:pPr>
              <w:pStyle w:val="Compact"/>
            </w:pPr>
            <w:r>
              <w:rPr>
                <w:b/>
                <w:bCs/>
              </w:rPr>
              <w:t xml:space="preserve">$0</w:t>
            </w:r>
          </w:p>
        </w:tc>
        <w:tc>
          <w:tcPr/>
          <w:p>
            <w:pPr>
              <w:pStyle w:val="Compact"/>
            </w:pP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$1,696 (rounded; $1,695.86 unrounded) in every distribution year 2027–2046</w:t>
      </w:r>
      <w:r>
        <w:t xml:space="preserve">. The Outside-scenario data reports per-year increments matching the algebraic prediction to the dollar in 20 of 20 years; the single non-matching year (2028) is the IRMAA conversion-year lookback effect (IRMAA savings of −$1,254 for that year only, a separately accounted effect orthogonal to the SRC). Adding the IRMAA hit back to 2028’s increment recovers $1,696, making the SRC’s structural per-year contribution</w:t>
      </w:r>
      <w:r>
        <w:t xml:space="preserve"> </w:t>
      </w:r>
      <w:r>
        <w:rPr>
          <w:b/>
          <w:bCs/>
        </w:rPr>
        <w:t xml:space="preserve">uniform across all 20 years</w:t>
      </w:r>
      <w:r>
        <w:t xml:space="preserve">.</w:t>
      </w:r>
    </w:p>
    <w:p>
      <w:pPr>
        <w:pStyle w:val="BodyText"/>
      </w:pPr>
      <w:r>
        <w:t xml:space="preserve">We verify the predicted constant against the algebraic formula:</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PV column is the decisive empirical evidence:</w:t>
      </w:r>
    </w:p>
    <w:p>
      <w:pPr>
        <w:pStyle w:val="Compact"/>
        <w:numPr>
          <w:ilvl w:val="0"/>
          <w:numId w:val="1003"/>
        </w:numPr>
      </w:pPr>
      <w:r>
        <w:rPr>
          <w:b/>
          <w:bCs/>
        </w:rPr>
        <w:t xml:space="preserve">Inside ΔATCF total PV at 7%: $9,766</w:t>
      </w:r>
    </w:p>
    <w:p>
      <w:pPr>
        <w:pStyle w:val="Compact"/>
        <w:numPr>
          <w:ilvl w:val="0"/>
          <w:numId w:val="1003"/>
        </w:numPr>
      </w:pPr>
      <w:r>
        <w:rPr>
          <w:b/>
          <w:bCs/>
        </w:rPr>
        <w:t xml:space="preserve">Outside ΔATCF total PV at 7%: $9,766</w:t>
      </w:r>
    </w:p>
    <w:p>
      <w:pPr>
        <w:pStyle w:val="FirstParagraph"/>
      </w:pPr>
      <w:r>
        <w:t xml:space="preserve">These are equal</w:t>
      </w:r>
      <w:r>
        <w:t xml:space="preserve"> </w:t>
      </w:r>
      <w:r>
        <w:rPr>
          <w:b/>
          <w:bCs/>
        </w:rPr>
        <w:t xml:space="preserve">to the dollar</w:t>
      </w:r>
      <w:r>
        <w:t xml:space="preserve">. The full IRR Cash Flow Decomposition PV totals (which add IRMAA savings PV and tax-drag-RMD PV to the ΔATCF-ex-IRMAA PV) also match between scenarios — both report total IRR cash-flow PV of $14,327 in the application’s display. Identical PV is the empirical signature of the algebraic identity proved in Section 4.</w:t>
      </w:r>
    </w:p>
    <w:p>
      <w:pPr>
        <w:pStyle w:val="BodyText"/>
      </w:pPr>
      <w:r>
        <w:t xml:space="preserve">Reconciliation: The −$17,966 year-0 outflow under Outside funding is exactly compensated by the present value of the constant $1,695.86/year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$178*</w:t>
            </w:r>
          </w:p>
        </w:tc>
        <w:tc>
          <w:tcPr/>
          <w:p>
            <w:pPr>
              <w:pStyle w:val="Compact"/>
            </w:pPr>
            <w:r>
              <w:t xml:space="preserve">$1,069</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$30,409</w:t>
            </w:r>
          </w:p>
        </w:tc>
        <w:tc>
          <w:tcPr/>
          <w:p>
            <w:pPr>
              <w:pStyle w:val="Compact"/>
            </w:pPr>
            <w:r>
              <w:rPr>
                <w:b/>
                <w:bCs/>
              </w:rPr>
              <w:t xml:space="preserve">$62,633</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$50,559</w:t>
            </w:r>
          </w:p>
        </w:tc>
        <w:tc>
          <w:tcPr/>
          <w:p>
            <w:pPr>
              <w:pStyle w:val="Compact"/>
            </w:pPr>
            <w:r>
              <w:rPr>
                <w:b/>
                <w:bCs/>
              </w:rPr>
              <w:t xml:space="preserve">$121,788</w:t>
            </w:r>
          </w:p>
        </w:tc>
        <w:tc>
          <w:tcPr/>
          <w:p>
            <w:pPr>
              <w:pStyle w:val="Compact"/>
            </w:pPr>
            <w:r>
              <w:rPr>
                <w:b/>
                <w:bCs/>
              </w:rPr>
              <w:t xml:space="preserve">+$71,229</w:t>
            </w:r>
          </w:p>
        </w:tc>
        <w:tc>
          <w:tcPr/>
          <w:p>
            <w:pPr>
              <w:pStyle w:val="Compact"/>
            </w:pPr>
            <w:r>
              <w:rPr>
                <w:b/>
                <w:bCs/>
              </w:rPr>
              <w:t xml:space="preserve">+$17,966</w:t>
            </w:r>
          </w:p>
        </w:tc>
      </w:tr>
    </w:tbl>
    <w:p>
      <w:pPr>
        <w:pStyle w:val="BodyText"/>
      </w:pPr>
      <w:r>
        <w:t xml:space="preserve">* 2031 contains the IRMAA conversion-year lookback hit (IRMAA savings of −$1,431 for that year only).</w:t>
      </w:r>
    </w:p>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it via a closed-form multiplier rather than by integrating the year stream:</w:t>
      </w:r>
    </w:p>
    <w:p>
      <w:pPr>
        <w:pStyle w:val="BodyText"/>
      </w:pPr>
      <m:oMathPara>
        <m:oMathParaPr>
          <m:jc m:val="center"/>
        </m:oMathParaPr>
        <m:oMath>
          <m:eqArr>
            <m:e>
              <m:r>
                <m:rPr>
                  <m:nor/>
                  <m:sty m:val="p"/>
                </m:rPr>
                <m:t>Lifetime nominal payout</m:t>
              </m:r>
              <m:r>
                <m:t>&amp;</m:t>
              </m:r>
              <m:r>
                <m:rPr>
                  <m:sty m:val="p"/>
                </m:rPr>
                <m:t>=</m:t>
              </m:r>
              <m:r>
                <m:t>K</m:t>
              </m:r>
              <m:r>
                <m:rPr>
                  <m:sty m:val="p"/>
                </m:rPr>
                <m:t>⋅</m:t>
              </m:r>
              <m:r>
                <m:rPr>
                  <m:nor/>
                  <m:sty m:val="p"/>
                </m:rPr>
                <m:t>payout multiple</m:t>
              </m:r>
            </m:e>
            <m:e>
              <m:r>
                <m:rPr>
                  <m:nor/>
                  <m:sty m:val="p"/>
                </m:rPr>
                <m:t>payout multiple</m:t>
              </m:r>
              <m:r>
                <m:t>&amp;</m:t>
              </m:r>
              <m:r>
                <m:rPr>
                  <m:sty m:val="p"/>
                </m:rPr>
                <m:t>=</m:t>
              </m:r>
              <m:f>
                <m:fPr>
                  <m:type m:val="bar"/>
                </m:fPr>
                <m:num>
                  <m:r>
                    <m:rPr>
                      <m:nor/>
                      <m:sty m:val="p"/>
                    </m:rPr>
                    <m:t>Total ATCF Change (FV)</m:t>
                  </m:r>
                </m:num>
                <m:den>
                  <m:r>
                    <m:t>K</m:t>
                  </m:r>
                  <m:r>
                    <m:rPr>
                      <m:sty m:val="p"/>
                    </m:rPr>
                    <m:t>+</m:t>
                  </m:r>
                  <m:r>
                    <m:rPr>
                      <m:nor/>
                      <m:sty m:val="p"/>
                    </m:rPr>
                    <m:t>Tax-Rate Spread (FV)</m:t>
                  </m:r>
                </m:den>
              </m:f>
            </m:e>
          </m:eqArr>
        </m:oMath>
      </m:oMathPara>
    </w:p>
    <w:p>
      <w:pPr>
        <w:pStyle w:val="FirstParagraph"/>
      </w:pPr>
      <w:r>
        <w:t xml:space="preserve">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5"/>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5"/>
        </w:numPr>
      </w:pPr>
      <w:r>
        <w:t xml:space="preserve">This $15,951 represents the household receiving back $1,696/year for 20 years (= $33,920 nominal) on a $17,966 outflow at year 0</w:t>
      </w:r>
    </w:p>
    <w:p>
      <w:pPr>
        <w:pStyle w:val="Compact"/>
        <w:numPr>
          <w:ilvl w:val="0"/>
          <w:numId w:val="1005"/>
        </w:numPr>
      </w:pPr>
      <w:r>
        <w:t xml:space="preserve">Net nominal: $33,920 − $17,966 = $15,954 (rounding-equivalent to the table’s $15,951)</w:t>
      </w:r>
    </w:p>
    <w:p>
      <w:pPr>
        <w:pStyle w:val="Compact"/>
        <w:numPr>
          <w:ilvl w:val="0"/>
          <w:numId w:val="1005"/>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6"/>
        </w:numPr>
      </w:pPr>
      <w:r>
        <w:rPr>
          <w:b/>
          <w:bCs/>
        </w:rPr>
        <w:t xml:space="preserve">Outside FA scenario (§5):</w:t>
      </w:r>
      <w:r>
        <w:t xml:space="preserve"> </w:t>
      </w:r>
      <w:r>
        <w:t xml:space="preserve">FV $917.08 / PV $485.78</w:t>
      </w:r>
    </w:p>
    <w:p>
      <w:pPr>
        <w:pStyle w:val="Compact"/>
        <w:numPr>
          <w:ilvl w:val="0"/>
          <w:numId w:val="1006"/>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 — and the application correctly captures it.</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d</m:t>
        </m:r>
        <m:r>
          <m:rPr>
            <m:sty m:val="p"/>
          </m:rPr>
          <m:t>&gt;</m:t>
        </m:r>
        <m:r>
          <m:t>r</m:t>
        </m:r>
      </m:oMath>
      <w:r>
        <w:t xml:space="preserve">, the SRC produces negative PV (worse than the portfolio’s growth). If</w:t>
      </w:r>
      <w:r>
        <w:t xml:space="preserve"> </w:t>
      </w:r>
      <m:oMath>
        <m:r>
          <m:t>d</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7"/>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the household no longer has to take, since the conversion shrinks the Traditional balance and thereby reduces lifetime RMDs — a channel present for both Inside and Outside conversions, since the RMD reduction is a consequence of the conversion event itself, not the funding source). An Inside conversion is rational if the sum of these alpha components is PV-positive, since Inside funding requires no outside cash outlay.</w:t>
      </w:r>
    </w:p>
    <w:p>
      <w:pPr>
        <w:numPr>
          <w:ilvl w:val="0"/>
          <w:numId w:val="1007"/>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8"/>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8"/>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19 of 20 distribution years (the 20th year contains a separately accounted IRMAA conversion-year lookback hit),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8"/>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8"/>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9"/>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9"/>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9"/>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9"/>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9"/>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2026-05-13T15:17:09Z</dcterms:created>
  <dcterms:modified xsi:type="dcterms:W3CDTF">2026-05-13T15:17:09Z</dcterms:modified>
</cp:coreProperties>
</file>

<file path=docProps/custom.xml><?xml version="1.0" encoding="utf-8"?>
<Properties xmlns="http://schemas.openxmlformats.org/officeDocument/2006/custom-properties" xmlns:vt="http://schemas.openxmlformats.org/officeDocument/2006/docPropsVTypes"/>
</file>