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2026-05-13</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tax rate</w:t>
      </w:r>
      <w:r>
        <w:t xml:space="preserve"> </w:t>
      </w:r>
      <m:oMath>
        <m:sSub>
          <m:e>
            <m:r>
              <m:t>t</m:t>
            </m:r>
          </m:e>
          <m:sub>
            <m:r>
              <m:t>C</m:t>
            </m:r>
          </m:sub>
        </m:sSub>
      </m:oMath>
      <w:r>
        <w:t xml:space="preserve"> </w:t>
      </w:r>
      <w:r>
        <w:t xml:space="preserve">and a future distribution-year tax rate</w:t>
      </w:r>
      <w:r>
        <w:t xml:space="preserve"> </w:t>
      </w:r>
      <m:oMath>
        <m:sSub>
          <m:e>
            <m:r>
              <m:t>t</m:t>
            </m:r>
          </m:e>
          <m:sub>
            <m:r>
              <m:t>D</m:t>
            </m:r>
          </m:sub>
        </m:sSub>
      </m:oMath>
      <w:r>
        <w:t xml:space="preserve">. This framing is incomplete. When the conversion tax is paid from outside the retirement account (e.g., from cash, brokerage, or other taxable savings), the conversion produces a second, distinct economic effect: dollars equivalent to the conversion tax migrate from a taxable wrapper into a tax-free wrapper, where they grow free of income tax for the life of the account holder and any beneficiaries. We name this effect the</w:t>
      </w:r>
      <w:r>
        <w:t xml:space="preserve"> </w:t>
      </w:r>
      <w:r>
        <w:rPr>
          <w:b/>
          <w:bCs/>
        </w:rPr>
        <w:t xml:space="preserve">Synthetic Roth Contribution</w:t>
      </w:r>
      <w:r>
        <w:t xml:space="preserve"> </w:t>
      </w:r>
      <w:r>
        <w:t xml:space="preserve">(SRC). It is</w:t>
      </w:r>
      <w:r>
        <w:t xml:space="preserve"> </w:t>
      </w:r>
      <w:r>
        <w:t xml:space="preserve">“synthetic”</w:t>
      </w:r>
      <w:r>
        <w:t xml:space="preserve"> </w:t>
      </w:r>
      <w:r>
        <w:t xml:space="preserve">because no contribution is filed with the IRS and no contribution limit is invoked, yet the economic outcome is identical to a contribution. The SRC framework was introduced in Cheshire (2025, SSRN 5205840), which established the concept, defined the SRC as equal to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and decomposed conversion-tax payback into SRC plus tax-rate arbitrage components with worked numerical examples. The present paper extends that work with four independent rigorous proofs: (1) an algebraic derivation invoking the annuity-payment / present-value identity, (2) an empirical comparison of two production simulation runs under Fixed Annuity distributions (Inside / Outside), (3) a generalization to RMD-Only distributions (Inside / Outside) verifying the algebraic identity holds across distribution methods, and (4) a decomposition-consistency argument showing that the realized end-of-life wealth difference cannot be reconciled without including the SRC term. The empirical evidence is striking: in 20 of 20 distribution years the Outside − Inside per-year ATCF increment is exactly $1,695.86, matching the algebraic prediction conversion tax ×</w:t>
      </w:r>
      <w:r>
        <w:t xml:space="preserve"> </w:t>
      </w:r>
      <m:oMath>
        <m:r>
          <m:rPr>
            <m:sty m:val="p"/>
          </m:rPr>
          <m:t>A</m:t>
        </m:r>
        <m:r>
          <m:rPr>
            <m:sty m:val="p"/>
          </m:rPr>
          <m:t>F</m:t>
        </m:r>
        <m:r>
          <m:rPr>
            <m:sty m:val="p"/>
          </m:rPr>
          <m:t>(</m:t>
        </m:r>
        <m:r>
          <m:t>r</m:t>
        </m:r>
        <m:r>
          <m:rPr>
            <m:sty m:val="p"/>
          </m:rPr>
          <m:t>,</m:t>
        </m:r>
        <m:r>
          <m:t>N</m:t>
        </m:r>
        <m:r>
          <m:rPr>
            <m:sty m:val="p"/>
          </m:rPr>
          <m:t>)</m:t>
        </m:r>
      </m:oMath>
      <w:r>
        <w:t xml:space="preserve"> </w:t>
      </w:r>
      <w:r>
        <w:t xml:space="preserve">= $17,966 × 0.094393 to the cent. The PV totals at 7% match between the two scenarios to the dollar ($9,766 each). Under RMD distributions the per-year increment varies from $831 to $3,901, yet the integrated PV closes to within four cents of the conversion tax. These proofs converge on a single conclusion: when discounting at the portfolio rate, the Outside-funded conversion produces a present-value-zero side effect at the moment of conversion that nonetheless raises the lifetime nominal cash flow by exactly the conversion-tax amount times the portfolio’s annuity-payment factor each distribution year. The SRC’s lasting economic value emerges through the tax-drag-differential channel — a PV-positive alpha that the pure rate-arbitrage framing of conventional Roth-conversion analysis fails to surface. We position our contribution against the closest formal prior work (Reichenstein &amp; Meyer 2017’s Strategy 2 vs Strategy 3 comparison), the closest practitioner-quantitative work (McQuarrie &amp; DiLellio 2023; Vanguard 2025 BETR), and the closest independent later articulation (Nalebuff / Haghani / White, June 2025), showing how the PV-equivalence identity at the portfolio rate, the separable IRR decomposition, and the cross-method (FA / RMD) generalization extend rather than replicate that body of work. Most directly, the empirical and theoretical results contradict McQuarrie (2024)’s prominent conclusion that the conversion’s upfront tax is not recouped until roughly age 97 — long after the taxpayer’s death — with all realized payoff accruing to the heirs: that conclusion arises from omitting from the NPV accounting the increase in post-conversion Roth balance from asset migration into the Roth wrapper, treating the conversion tax under Outside payment as a one-sided cost rather than a wrapper migration of the household’s own funds into a tax-free wrapper.</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§6.1.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 the PV at the portfolio rate of the</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on the converted principal, equal to (25% − 22%) × $100K — which McQuarrie’s NPV correctly identifies and reports.</w:t>
      </w:r>
      <w:r>
        <w:t xml:space="preserve"> </w:t>
      </w:r>
      <w:r>
        <w:rPr>
          <w:i/>
          <w:iCs/>
        </w:rPr>
        <w:t xml:space="preserve">Second</w:t>
      </w:r>
      <w:r>
        <w:t xml:space="preserve">, the wrapper composition differs between Outside and Inside: Outside places $100,000 in the Roth (the conversion-tax dollars physically migrated from Bank into Roth); Inside places $78,000 in the Roth (the conversion-tax dollars stayed in the Bank, the conversion tax was withheld from the converted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economic value through the tax-drag-differential channel (§6.1) that McQuarrie’s same-rate framework eliminates by construction.</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1"/>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1"/>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settle the same deferred-tax liability and capture the same $3,000 rate-arbitrage gain, leaving the same $100,000 total household wealth: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$22,000 Outside/Inside</w:t>
      </w:r>
      <w:r>
        <w:t xml:space="preserve"> </w:t>
      </w:r>
      <w:r>
        <w:rPr>
          <w:b/>
          <w:bCs/>
        </w:rPr>
        <w:t xml:space="preserve">wrapper-composition</w:t>
      </w:r>
      <w:r>
        <w:t xml:space="preserve"> </w:t>
      </w:r>
      <w:r>
        <w:t xml:space="preserve">difference — $22,000 more in Roth, $22,000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moved</w:t>
      </w:r>
      <w:r>
        <w:t xml:space="preserve"> </w:t>
      </w:r>
      <w:r>
        <w:t xml:space="preserve">$22,000 of after-tax cash from a taxable bank account into a tax-free Roth.</w:t>
      </w:r>
    </w:p>
    <w:bookmarkEnd w:id="15"/>
    <w:bookmarkStart w:id="16" w:name="symmetry-to-statutory-roth-contributions"/>
    <w:p>
      <w:pPr>
        <w:pStyle w:val="Heading3"/>
      </w:pPr>
      <w:r>
        <w:t xml:space="preserve">3.4 Symmetry to Statutory Roth Contributions</w:t>
      </w:r>
    </w:p>
    <w:p>
      <w:pPr>
        <w:pStyle w:val="FirstParagraph"/>
      </w:pPr>
      <w:r>
        <w:t xml:space="preserve">The SRC</w:t>
      </w:r>
      <w:r>
        <w:t xml:space="preserve"> </w:t>
      </w:r>
      <w:r>
        <w:t xml:space="preserve">“no cost”</w:t>
      </w:r>
      <w:r>
        <w:t xml:space="preserve"> </w:t>
      </w:r>
      <w:r>
        <w:t xml:space="preserve">framing has a structural analogue in the statutory Roth contribution.</w:t>
      </w:r>
    </w:p>
    <w:p>
      <w:pPr>
        <w:pStyle w:val="BodyText"/>
      </w:pPr>
      <w:r>
        <w:t xml:space="preserve">A household that contributes $22,000 to a Roth 401K performs an explicit wrapper migration: $22,000 of after-tax cash that was in a bank wrapper now sits in a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w:t>
      </w:r>
    </w:p>
    <w:p>
      <w:pPr>
        <w:pStyle w:val="BodyText"/>
      </w:pPr>
      <w:r>
        <w:t xml:space="preserve">The SRC is the same wrapper migration, performed implicitly via the Outside-tax payment. The tax paid to settle the deferred Traditional liability is not a</w:t>
      </w:r>
      <w:r>
        <w:t xml:space="preserve"> </w:t>
      </w:r>
      <w:r>
        <w:t xml:space="preserve">“conversion cost”</w:t>
      </w:r>
      <w:r>
        <w:t xml:space="preserve"> </w:t>
      </w:r>
      <w:r>
        <w:t xml:space="preserve">any more than the income tax paid on W-2 earnings is a</w:t>
      </w:r>
      <w:r>
        <w:t xml:space="preserve"> </w:t>
      </w:r>
      <w:r>
        <w:t xml:space="preserve">“Roth contribution cost.”</w:t>
      </w:r>
      <w:r>
        <w:t xml:space="preserve"> </w:t>
      </w:r>
      <w:r>
        <w:t xml:space="preserve">Both settle tax obligations that were always owed; both leave after-tax wealth unchanged at the wrapper-migration moment; both produce the same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differ only in when the income-tax obligation is settled — at earning time (statutory contribution) or at conversion time (SRC).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leads to a general principle:</w:t>
      </w:r>
    </w:p>
    <w:p>
      <w:pPr>
        <w:pStyle w:val="BodyText"/>
      </w:pPr>
      <w:r>
        <w:rPr>
          <w:b/>
          <w:bCs/>
        </w:rPr>
        <w:t xml:space="preserve">Wrapper Migration Neutrality</w:t>
      </w:r>
      <w:r>
        <w:t xml:space="preserve"> </w:t>
      </w:r>
      <w:r>
        <w:t xml:space="preserve">postulates that any transaction that alters a household’s tax-wrapper composition without changing its contemporaneous after-tax wealth imposes no cost — it is a reallocation, not an expense.</w:t>
      </w:r>
    </w:p>
    <w:p>
      <w:pPr>
        <w:pStyle w:val="BodyText"/>
      </w:pPr>
      <w:r>
        <w:t xml:space="preserve">Examples:</w:t>
      </w:r>
    </w:p>
    <w:p>
      <w:pPr>
        <w:pStyle w:val="Compact"/>
        <w:numPr>
          <w:ilvl w:val="0"/>
          <w:numId w:val="1002"/>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2"/>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after-tax dollars from the bank wrapper to the Roth wrapper (implicitly, via the conversion-tax payment), in addition to the rate-arbitrage on converted principal.</w:t>
      </w:r>
    </w:p>
    <w:p>
      <w:pPr>
        <w:pStyle w:val="Compact"/>
        <w:numPr>
          <w:ilvl w:val="0"/>
          <w:numId w:val="1002"/>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future economic value of each emerges over time through the source/destination growth rate differential — drag in the source, no drag in the destination — but at the moment of migration, none impose a cost.</w:t>
      </w:r>
    </w:p>
    <w:bookmarkEnd w:id="17"/>
    <w:bookmarkStart w:id="18" w:name="definition"/>
    <w:p>
      <w:pPr>
        <w:pStyle w:val="Heading3"/>
      </w:pPr>
      <w:r>
        <w:t xml:space="preserve">3.6 Definition</w:t>
      </w:r>
    </w:p>
    <w:p>
      <w:pPr>
        <w:pStyle w:val="FirstParagraph"/>
      </w:pPr>
      <w:r>
        <w:t xml:space="preserve">The Synthetic Roth Contribution (SRC) is the conversion-tax amount (</w:t>
      </w:r>
      <m:oMath>
        <m:r>
          <m:t>K</m:t>
        </m:r>
      </m:oMath>
      <w:r>
        <w:t xml:space="preserve">) that migrates from the bank account into the Roth wrapper via the conversion-tax payment in an Outside-funded conversion. It is economically equivalent to a same-day statutory Roth contribution of</w:t>
      </w:r>
      <w:r>
        <w:t xml:space="preserve"> </w:t>
      </w:r>
      <m:oMath>
        <m:r>
          <m:t>K</m:t>
        </m:r>
      </m:oMath>
      <w:r>
        <w:t xml:space="preserve">, but is not subject to IRS annual contribution limits.</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This benefit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if the</w:t>
      </w:r>
      <w:r>
        <w:t xml:space="preserve"> </w:t>
      </w:r>
      <m:oMath>
        <m:r>
          <m:t>K</m:t>
        </m:r>
      </m:oMath>
      <w:r>
        <w:t xml:space="preserve"> </w:t>
      </w:r>
      <w:r>
        <w:t xml:space="preserve">cash would have remained invested at</w:t>
      </w:r>
      <w:r>
        <w:t xml:space="preserve"> </w:t>
      </w:r>
      <m:oMath>
        <m:sSub>
          <m:e>
            <m:r>
              <m:t>r</m:t>
            </m:r>
          </m:e>
          <m:sub>
            <m:r>
              <m:t>d</m:t>
            </m:r>
          </m:sub>
        </m:sSub>
      </m:oMath>
      <w:r>
        <w:t xml:space="preserve">.</w:t>
      </w:r>
    </w:p>
    <w:p>
      <w:pPr>
        <w:pStyle w:val="BodyText"/>
      </w:pPr>
      <w:r>
        <w:rPr>
          <w:b/>
          <w:bCs/>
        </w:rPr>
        <w:t xml:space="preserve">Property 3 — Estate-and-beneficiary asymmetry.</w:t>
      </w:r>
      <w:r>
        <w:t xml:space="preserve"> </w:t>
      </w:r>
      <w:r>
        <w:t xml:space="preserve">Roth dollars pass to non-spouse beneficiaries free of ordinary income tax (subject to the 10-year SECURE distribution rule). Taxable wrapper dollars pass with a step-up in basis but no preferential income-tax treatment. SRC dollars therefore receive the more favorable inherited-Roth treatment.</w:t>
      </w:r>
    </w:p>
    <w:bookmarkEnd w:id="19"/>
    <w:bookmarkStart w:id="20" w:name="what-the-src-is-not"/>
    <w:p>
      <w:pPr>
        <w:pStyle w:val="Heading3"/>
      </w:pPr>
      <w:r>
        <w:t xml:space="preserve">3.8 What the SRC Is Not</w:t>
      </w:r>
    </w:p>
    <w:p>
      <w:pPr>
        <w:pStyle w:val="FirstParagraph"/>
      </w:pPr>
      <w:r>
        <w:t xml:space="preserve">The SRC is not the rate-arbitrage,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captured at conversion — present in both Outside and Inside settlement. The SRC is a separate, additional economic component visible only under Outside settlement, and visible only as a</w:t>
      </w:r>
      <w:r>
        <w:t xml:space="preserve"> </w:t>
      </w:r>
      <w:r>
        <w:rPr>
          <w:i/>
          <w:iCs/>
        </w:rPr>
        <w:t xml:space="preserve">wrapper-composition difference</w:t>
      </w:r>
      <w:r>
        <w:t xml:space="preserve">, not as a difference in net after-tax wealth at the moment of conversion.</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that, when the discount rate equals the portfolio rate, the Outside-funded path’s net present value equals the Inside-funded path’s net present value, despite their different cash-flow timings.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Cases where the household’s personal discount rate diverges from the portfolio rate are discussed separately in §6.3.</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Marital status: single</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scenario) − ATCF(no-conversion baseline), where the conversion scenario applies the $123,850 conversion described above (which fills cumulatively through the 22% federal bracket under the assumed inputs) and the baseline applies no conversion at all.</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the two paths produce identical PV value at the portfolio rate.</w:t>
      </w:r>
    </w:p>
    <w:p>
      <w:pPr>
        <w:pStyle w:val="BodyText"/>
      </w:pPr>
      <w:r>
        <w:t xml:space="preserve">The household paid $17,966 at year 0 and received its present-value equivalent back over 20 years — at the portfolio rate. This is the algebraic identity in production-system numbers. The Outside scenario’s full-cash-flow IRR of 15.01% exceeds the portfolio rate by ~8 percentage points; this excess captures the rate-arbitrage Core, IRMAA savings, and tax-drag components that ride on top of the (PV-zero-at-7%) SRC. The Inside scenario has no outside outlay, so its full-cash-flow IRR is undefined; only the Outside path admits a meaningful IRR measurement on the</w:t>
      </w:r>
      <w:r>
        <w:t xml:space="preserve"> </w:t>
      </w:r>
      <m:oMath>
        <m:r>
          <m:t>K</m:t>
        </m:r>
      </m:oMath>
      <w:r>
        <w:t xml:space="preserve"> </w:t>
      </w:r>
      <w:r>
        <w:t xml:space="preserve">outlay.</w:t>
      </w:r>
    </w:p>
    <w:p>
      <w:r>
        <w:pict>
          <v:rect style="width:0;height:1.5pt" o:hralign="center" o:hrstd="t" o:hr="t"/>
        </w:pict>
      </w:r>
    </w:p>
    <w:bookmarkEnd w:id="25"/>
    <w:bookmarkEnd w:id="26"/>
    <w:bookmarkStart w:id="33" w:name="X2f321f8c0570938977d6c03976ef4e3bb78bcf7"/>
    <w:p>
      <w:pPr>
        <w:pStyle w:val="Heading2"/>
      </w:pPr>
      <w:r>
        <w:t xml:space="preserve">5B. Generalization to RMD-Only Distributions: Paired Inside / Outside Scenarios (RMD)</w:t>
      </w:r>
    </w:p>
    <w:p>
      <w:pPr>
        <w:pStyle w:val="FirstParagraph"/>
      </w:pPr>
      <w:r>
        <w:t xml:space="preserve">The Section 5 demonstration uses Fixed Annuity (FA) distributions, which deplete the retirement balance to zero at the end of the owner’s life. The constant-per-year SRC increment of $1,695.86 emerges from FA’s flat distribution schedule. Two natural questions follow:</w:t>
      </w:r>
    </w:p>
    <w:p>
      <w:pPr>
        <w:pStyle w:val="Compact"/>
        <w:numPr>
          <w:ilvl w:val="0"/>
          <w:numId w:val="1003"/>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3"/>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Same profile, same conversion (</w:t>
      </w:r>
      <m:oMath>
        <m:r>
          <m:t>C</m:t>
        </m:r>
      </m:oMath>
      <w:r>
        <w:t xml:space="preserve"> </w:t>
      </w:r>
      <w:r>
        <w:t xml:space="preserve">= $123,850,</w:t>
      </w:r>
      <w:r>
        <w:t xml:space="preserve"> </w:t>
      </w:r>
      <m:oMath>
        <m:r>
          <m:t>K</m:t>
        </m:r>
      </m:oMath>
      <w:r>
        <w:t xml:space="preserve"> </w:t>
      </w:r>
      <w:r>
        <w:t xml:space="preserve">= $17,966), same portfolio return assumption (7.00%), same 20-year owner life expectancy. RMD-Only distributions begin at the IRS-mandated age 73 (year 2030), running through age 92 (year 2049), followed by a 10-year statutory beneficiary distribution period (years 2050–2059), distributed as a constant annuity-payment stream over the 10 years (not as continued RMDs, since the inherited Roth has no annual RMD requirement under SECURE Act’s 10-year rule).</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is that the per-year</w:t>
      </w:r>
      <w:r>
        <w:t xml:space="preserve"> </w:t>
      </w:r>
      <w:r>
        <w:rPr>
          <w:b/>
          <w:bCs/>
        </w:rPr>
        <w:t xml:space="preserve">(Outside − Inside) increment is NOT constant</w:t>
      </w:r>
      <w:r>
        <w:t xml:space="preserve">. RMD distributions vary with the age-indexed divisor and with the post-conversion balance trajectory. The SRC’s per-year contribution therefore tracks RMD’s varying schedule rather than producing a flat dollar value.</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the per-year increment varying from $831 (year 2030) to $2,596 (year 2049) in the owner period and to a flat $3,901 (years 2050–2059) in the beneficiary period. The variation matters; the PV total does not.</w:t>
      </w:r>
    </w:p>
    <w:p>
      <w:pPr>
        <w:pStyle w:val="BodyText"/>
      </w:pPr>
      <w:r>
        <w:t xml:space="preserve">Compare to the FA case (§5.3), where each year’s increment was a flat $1,695.86 because FA’s distribution schedule itself is flat. RMD’s per-year increment varies because RMD’s distribution amounts vary year-by-year, which in turn modulates the year-by-year benefit of having a larger (Outside) versus smaller (Inside) starting Roth balance.</w:t>
      </w:r>
      <w:r>
        <w:t xml:space="preserve"> </w:t>
      </w:r>
      <w:r>
        <w:rPr>
          <w:b/>
          <w:bCs/>
        </w:rPr>
        <w:t xml:space="preserve">The varying per-year SRC increment is a feature of distribution-method-specific cash-flow shapes, not a violation of the SRC framework.</w:t>
      </w:r>
      <w:r>
        <w:t xml:space="preserve"> </w:t>
      </w:r>
      <w:r>
        <w:t xml:space="preserve">Across both distribution methods, the SRC’s PV at the portfolio rate equals exactly zero.</w:t>
      </w:r>
    </w:p>
    <w:bookmarkEnd w:id="29"/>
    <w:bookmarkStart w:id="30" w:name="X2c317d26497880f028adf5524dc89e526149274"/>
    <w:p>
      <w:pPr>
        <w:pStyle w:val="Heading3"/>
      </w:pPr>
      <w:r>
        <w:t xml:space="preserve">5B.4 The SRC’s Lifetime Nominal Payout — Engine Formula and Empirical Cross-Validation</w:t>
      </w:r>
    </w:p>
    <w:p>
      <w:pPr>
        <w:pStyle w:val="FirstParagraph"/>
      </w:pPr>
      <w:r>
        <w:t xml:space="preserve">The SRC’s</w:t>
      </w:r>
      <w:r>
        <w:t xml:space="preserve"> </w:t>
      </w:r>
      <w:r>
        <w:rPr>
          <w:b/>
          <w:bCs/>
        </w:rPr>
        <w:t xml:space="preserve">lifetime nominal payout</w:t>
      </w:r>
      <w:r>
        <w:t xml:space="preserve"> </w:t>
      </w:r>
      <w:r>
        <w:t xml:space="preserve">is the total of all year-by-year after-tax distributions the household receives from the Roth attributable to the conversion-tax dollar entering the Roth (the synthetic contribution). Conceptually this is the sum of the per-year (Outside − Inside) ΔATCF column over the full distribution horizon: the SRC’s nominal lifetime cash payoff.</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household’s distribution schedule. Under FA distribution,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(1.88786 in our scenario, with</w:t>
      </w:r>
      <w:r>
        <w:t xml:space="preserve"> </w:t>
      </w:r>
      <m:oMath>
        <m:r>
          <m:t>r</m:t>
        </m:r>
        <m:r>
          <m:rPr>
            <m:sty m:val="p"/>
          </m:rPr>
          <m:t>=</m:t>
        </m:r>
        <m:r>
          <m:t>7</m:t>
        </m:r>
        <m:r>
          <m:rPr>
            <m:sty m:val="p"/>
          </m:rPr>
          <m:t>%</m:t>
        </m:r>
      </m:oMath>
      <w:r>
        <w:t xml:space="preserve">,</w:t>
      </w:r>
      <w:r>
        <w:t xml:space="preserve"> </w:t>
      </w:r>
      <m:oMath>
        <m:r>
          <m:t>N</m:t>
        </m:r>
        <m:r>
          <m:rPr>
            <m:sty m:val="p"/>
          </m:rPr>
          <m:t>=</m:t>
        </m:r>
        <m:r>
          <m:t>20</m:t>
        </m:r>
      </m:oMath>
      <w:r>
        <w:t xml:space="preserve">). Under RMD distribution, it is determined empirically from the year-by-year RMD divisor schedule applied to the SRC’s</w:t>
      </w:r>
      <w:r>
        <w:t xml:space="preserve"> </w:t>
      </w:r>
      <m:oMath>
        <m:r>
          <m:t>K</m:t>
        </m:r>
      </m:oMath>
      <w:r>
        <w:t xml:space="preserve"> </w:t>
      </w:r>
      <w:r>
        <w:t xml:space="preserve">dollars. For the Outside RMD scenario, the payout multiple is 3.9647, so the lifetime nominal payout = $17,966 × 3.9647 = $71,229.59.</w:t>
      </w:r>
    </w:p>
    <w:p>
      <w:pPr>
        <w:pStyle w:val="BodyText"/>
      </w:pPr>
      <w:r>
        <w:rPr>
          <w:b/>
          <w:bCs/>
        </w:rPr>
        <w:t xml:space="preserve">What 3.9647 is.</w:t>
      </w:r>
      <w:r>
        <w:t xml:space="preserve"> </w:t>
      </w:r>
      <w:r>
        <w:t xml:space="preserve">The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(Group 1) is computed first and serves as the benchmark.</w:t>
      </w:r>
    </w:p>
    <w:p>
      <w:pPr>
        <w:pStyle w:val="BodyText"/>
      </w:pPr>
      <w:r>
        <w:rPr>
          <w:b/>
          <w:bCs/>
        </w:rPr>
        <w:t xml:space="preserve">Why the same 3.9647 appears at every cumulative bracket.</w:t>
      </w:r>
      <w:r>
        <w:t xml:space="preserve"> </w:t>
      </w:r>
      <w:r>
        <w:t xml:space="preserve">Each bracket — Group 1 (10%), Group 2 (12%), Group 3 (22%), Group 4 (the $123,850 conversion) — independently computes its own payout multiple from its own ΔATCF,</w:t>
      </w:r>
      <w:r>
        <w:t xml:space="preserve"> </w:t>
      </w:r>
      <m:oMath>
        <m:r>
          <m:t>K</m:t>
        </m:r>
      </m:oMath>
      <w:r>
        <w:t xml:space="preserve">, and rate-spread inputs. That every subsequent bracket reproduces Group 1’s benchmark value of 3.9647 is the empirical signature of the SRC framework’s internal consistency. The payout multiple is a</w:t>
      </w:r>
      <w:r>
        <w:t xml:space="preserve"> </w:t>
      </w:r>
      <w:r>
        <w:rPr>
          <w:b/>
          <w:bCs/>
        </w:rPr>
        <w:t xml:space="preserve">structural property of the household’s distribution schedule</w:t>
      </w:r>
      <w:r>
        <w:t xml:space="preserve">, not an artifact of any particular conversion size.</w:t>
      </w:r>
    </w:p>
    <w:p>
      <w:pPr>
        <w:pStyle w:val="BodyText"/>
      </w:pPr>
      <w:r>
        <w:rPr>
          <w:b/>
          <w:bCs/>
        </w:rPr>
        <w:t xml:space="preserve">Cross-validation against the year-by-year sum.</w:t>
      </w:r>
      <w:r>
        <w:t xml:space="preserve"> </w:t>
      </w:r>
      <w:r>
        <w:t xml:space="preserve">The closed-form lifetime nominal payout of $71,229.59 matches the §5B.2 table’s year-by-year nominal sum of (Outside − Inside) ΔATCF of $71,229.46 to within $0.13. Two independent computational paths — the multiplier formula and the empirical year-stream sum — converge to the same dollar amount. This is what §5B.4 demonstrates: cross-validation of the multiplier-based output against an independent empirical sum.</w:t>
      </w:r>
    </w:p>
    <w:p>
      <w:pPr>
        <w:pStyle w:val="BodyText"/>
      </w:pPr>
      <w:r>
        <w:rPr>
          <w:b/>
          <w:bCs/>
        </w:rPr>
        <w:t xml:space="preserve">Comparison to FA.</w:t>
      </w:r>
      <w:r>
        <w:t xml:space="preserve"> </w:t>
      </w:r>
      <w:r>
        <w:t xml:space="preserve">For the Outside FA scenario, the lifetime nominal payout = $17,966 × 1.88786 = $33,917.27, with the FA annuity-factor multiple of 1.88786 playing the structural role of the payout multiple under FA distribution. The RMD multiplier (3.9647) exceeds the FA multiplier (1.88786) by ~2.1× because RMD’s effective compounding horizon extends 10 years past the owner-only 20-year FA horizon (into the beneficiary period — see §5B.5). This empirical observation reinforces §6.2’s claim that the SRC’s largest practical value channel is its compounding through the inheritance period — visible under RMD method but absent under FA.</w:t>
      </w:r>
    </w:p>
    <w:bookmarkEnd w:id="30"/>
    <w:bookmarkStart w:id="31" w:name="Xe6bb372a884396a93a06cdf411b1b1253442fe8"/>
    <w:p>
      <w:pPr>
        <w:pStyle w:val="Heading3"/>
      </w:pPr>
      <w:r>
        <w:t xml:space="preserve">5B.5 Beneficiary-Period Empirical Evidence for Inheritance Asymmetry</w:t>
      </w:r>
    </w:p>
    <w:p>
      <w:pPr>
        <w:pStyle w:val="FirstParagraph"/>
      </w:pPr>
      <w:r>
        <w:t xml:space="preserve">The Outside RMD beneficiary period (years 2050–2059, ages 93–102 of the inheriting cohort) shows a flat $3,901/year (Outside − Inside) increment. Across 10 years, this contributes nominal $39,006 — 55% of the SRC’s total nominal value, a slight majority. In PV @ 7%, the beneficiary-period contribution is $5,780, or 32% of the total — less weight because of the ~30-year discount horizon back to conversion date. Both shares are non-trivial.</w:t>
      </w:r>
    </w:p>
    <w:p>
      <w:pPr>
        <w:pStyle w:val="BodyText"/>
      </w:pPr>
      <w:r>
        <w:t xml:space="preserve">The beneficiary-period $3,901/yr increment exists</w:t>
      </w:r>
      <w:r>
        <w:t xml:space="preserve"> </w:t>
      </w:r>
      <w:r>
        <w:rPr>
          <w:b/>
          <w:bCs/>
        </w:rPr>
        <w:t xml:space="preserve">only because Outside funding leaves the beneficiary’s inherited Roth balance larger by</w:t>
      </w:r>
      <w:r>
        <w:rPr>
          <w:b/>
          <w:bCs/>
        </w:rPr>
        <w:t xml:space="preserve"> </w:t>
      </w:r>
      <m:oMath>
        <m:r>
          <m:t>K</m:t>
        </m:r>
      </m:oMath>
      <w:r>
        <w:rPr>
          <w:b/>
          <w:bCs/>
        </w:rPr>
        <w:t xml:space="preserve"> </w:t>
      </w:r>
      <w:r>
        <w:rPr>
          <w:b/>
          <w:bCs/>
        </w:rPr>
        <w:t xml:space="preserve">times the growth factor at the moment of owner death</w:t>
      </w:r>
      <w:r>
        <w:t xml:space="preserve">. The 10-year statutory distribution of that excess Roth balance — entirely tax-free to the beneficiary — is the mechanism through which §6.2’s</w:t>
      </w:r>
      <w:r>
        <w:t xml:space="preserve"> </w:t>
      </w:r>
      <w:r>
        <w:t xml:space="preserve">“Roth-vs-taxable inheritance asymmetry”</w:t>
      </w:r>
      <w:r>
        <w:t xml:space="preserve"> </w:t>
      </w:r>
      <w:r>
        <w:t xml:space="preserve">channel materializes empirically. Under FA distribution, this channel is invisible because FA depletes the balance to zero at owner death; under RMD it is structurally visible.</w:t>
      </w:r>
    </w:p>
    <w:p>
      <w:pPr>
        <w:pStyle w:val="BodyText"/>
      </w:pPr>
      <w:r>
        <w:t xml:space="preserve">This fact has practical importance: the SRC’s value channel of inheritance asymmetry should not be treated as theoretical</w:t>
      </w:r>
      <w:r>
        <w:t xml:space="preserve"> </w:t>
      </w:r>
      <w:r>
        <w:t xml:space="preserve">“extra benefit”</w:t>
      </w:r>
      <w:r>
        <w:t xml:space="preserve"> </w:t>
      </w:r>
      <w:r>
        <w:t xml:space="preserve">when planning RMD-method conversions. It is empirically present and produces measurable beneficiary-period cash flows that the calculation engine captures directly.</w:t>
      </w:r>
    </w:p>
    <w:bookmarkEnd w:id="31"/>
    <w:bookmarkStart w:id="32" w:name="Xd989f50ff819d6879ade1bf069e8c99285f6a7b"/>
    <w:p>
      <w:pPr>
        <w:pStyle w:val="Heading3"/>
      </w:pPr>
      <w:r>
        <w:t xml:space="preserve">5.4 Where Outside Funding Differs from Inside</w:t>
      </w:r>
    </w:p>
    <w:p>
      <w:pPr>
        <w:pStyle w:val="FirstParagraph"/>
      </w:pPr>
      <w:r>
        <w:t xml:space="preserve">The two scenarios produce</w:t>
      </w:r>
      <w:r>
        <w:t xml:space="preserve"> </w:t>
      </w:r>
      <w:r>
        <w:rPr>
          <w:b/>
          <w:bCs/>
        </w:rPr>
        <w:t xml:space="preserve">identical</w:t>
      </w:r>
      <w:r>
        <w:t xml:space="preserve"> </w:t>
      </w:r>
      <w:r>
        <w:t xml:space="preserve">PV totals because the discount rate equals the portfolio rate. They produce</w:t>
      </w:r>
      <w:r>
        <w:t xml:space="preserve"> </w:t>
      </w:r>
      <w:r>
        <w:rPr>
          <w:b/>
          <w:bCs/>
        </w:rPr>
        <w:t xml:space="preserve">different</w:t>
      </w:r>
      <w:r>
        <w:t xml:space="preserve"> </w:t>
      </w:r>
      <w:r>
        <w:t xml:space="preserve">nominal lifetime totals because Outside funding migrates</w:t>
      </w:r>
      <w:r>
        <w:t xml:space="preserve"> </w:t>
      </w:r>
      <m:oMath>
        <m:r>
          <m:t>K</m:t>
        </m:r>
      </m:oMath>
      <w:r>
        <w:t xml:space="preserve"> </w:t>
      </w:r>
      <w:r>
        <w:t xml:space="preserve">of taxable-wrapper dollars into a tax-free wrapper at the conversion moment. Over 20 years, that wrapper transition is the SRC’s tangible benefit:</w:t>
      </w:r>
    </w:p>
    <w:p>
      <w:pPr>
        <w:pStyle w:val="Compact"/>
        <w:numPr>
          <w:ilvl w:val="0"/>
          <w:numId w:val="1004"/>
        </w:numPr>
      </w:pPr>
      <w:r>
        <w:t xml:space="preserve">The household’s total nominal cash inflow is $34,034 − $18,083 =</w:t>
      </w:r>
      <w:r>
        <w:t xml:space="preserve"> </w:t>
      </w:r>
      <w:r>
        <w:rPr>
          <w:b/>
          <w:bCs/>
        </w:rPr>
        <w:t xml:space="preserve">+$15,951 higher</w:t>
      </w:r>
      <w:r>
        <w:t xml:space="preserve"> </w:t>
      </w:r>
      <w:r>
        <w:t xml:space="preserve">under Outside funding (Section 5.1 totals)</w:t>
      </w:r>
    </w:p>
    <w:p>
      <w:pPr>
        <w:pStyle w:val="Compact"/>
        <w:numPr>
          <w:ilvl w:val="0"/>
          <w:numId w:val="1004"/>
        </w:numPr>
      </w:pPr>
      <w:r>
        <w:t xml:space="preserve">This $15,951 represents the household receiving back $1,696/year for 20 years (= $33,920 nominal) on a $17,966 outflow at year 0</w:t>
      </w:r>
    </w:p>
    <w:p>
      <w:pPr>
        <w:pStyle w:val="Compact"/>
        <w:numPr>
          <w:ilvl w:val="0"/>
          <w:numId w:val="1004"/>
        </w:numPr>
      </w:pPr>
      <w:r>
        <w:t xml:space="preserve">Net nominal: $33,920 − $17,966 = $15,954 (rounding-equivalent to the table’s $15,951)</w:t>
      </w:r>
    </w:p>
    <w:p>
      <w:pPr>
        <w:pStyle w:val="Compact"/>
        <w:numPr>
          <w:ilvl w:val="0"/>
          <w:numId w:val="1004"/>
        </w:numPr>
      </w:pPr>
      <w:r>
        <w:t xml:space="preserve">In present-value terms, this $15,951 is exactly the time-value-of-money the household earned on the $17,966 — i.e., it is</w:t>
      </w:r>
      <w:r>
        <w:t xml:space="preserve"> </w:t>
      </w:r>
      <w:r>
        <w:rPr>
          <w:b/>
          <w:bCs/>
        </w:rPr>
        <w:t xml:space="preserve">not extra wealth at the portfolio discount rate</w:t>
      </w:r>
    </w:p>
    <w:p>
      <w:pPr>
        <w:pStyle w:val="FirstParagraph"/>
      </w:pPr>
      <w:r>
        <w:t xml:space="preserve">The SRC’s economic significance therefore lies elsewhere, captured in the next subsection.</w:t>
      </w:r>
    </w:p>
    <w:p>
      <w:r>
        <w:pict>
          <v:rect style="width:0;height:1.5pt" o:hralign="center" o:hrstd="t" o:hr="t"/>
        </w:pict>
      </w:r>
    </w:p>
    <w:bookmarkEnd w:id="32"/>
    <w:bookmarkEnd w:id="33"/>
    <w:bookmarkStart w:id="37" w:name="where-the-src-has-real-value"/>
    <w:p>
      <w:pPr>
        <w:pStyle w:val="Heading2"/>
      </w:pPr>
      <w:r>
        <w:t xml:space="preserve">6. Where the SRC Has Real Value</w:t>
      </w:r>
    </w:p>
    <w:p>
      <w:pPr>
        <w:pStyle w:val="FirstParagraph"/>
      </w:pPr>
      <w:r>
        <w:t xml:space="preserve">Section 4 proved that the SRC present value is zero when the discount rate equals the portfolio rate. This makes the SRC appear neutral. It is not. The SRC has real economic value through three channels that escape a pure PV-at-portfolio-rate framing.</w:t>
      </w:r>
    </w:p>
    <w:bookmarkStart w:id="34" w:name="tax-drag-differential"/>
    <w:p>
      <w:pPr>
        <w:pStyle w:val="Heading3"/>
      </w:pPr>
      <w:r>
        <w:t xml:space="preserve">6.1 Tax-Drag Differential</w:t>
      </w:r>
    </w:p>
    <w:p>
      <w:pPr>
        <w:pStyle w:val="FirstParagraph"/>
      </w:pPr>
      <w:r>
        <w:t xml:space="preserve">Inside the Roth wrapper, every dollar compounds at the asset’s full pre-tax return</w:t>
      </w:r>
      <w:r>
        <w:t xml:space="preserve"> </w:t>
      </w:r>
      <m:oMath>
        <m:r>
          <m:t>r</m:t>
        </m:r>
      </m:oMath>
      <w:r>
        <w:t xml:space="preserve">. Outside the wrapper — in a taxable bank or brokerage account — the same dollar pays tax on dividends, interest, realized capital gains, and turnover-driven distributions every year, compounding instead at an effective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for some drag fraction</w:t>
      </w:r>
      <w:r>
        <w:t xml:space="preserve"> </w:t>
      </w:r>
      <m:oMath>
        <m:r>
          <m:t>d</m:t>
        </m:r>
      </m:oMath>
      <w:r>
        <w:t xml:space="preserve"> </w:t>
      </w:r>
      <w:r>
        <w:t xml:space="preserve">representing the proportion of return lost annually to taxation. This paper’s scenarios use</w:t>
      </w:r>
      <w:r>
        <w:t xml:space="preserve"> </w:t>
      </w:r>
      <m:oMath>
        <m:r>
          <m:t>d</m:t>
        </m:r>
        <m:r>
          <m:rPr>
            <m:sty m:val="p"/>
          </m:rPr>
          <m:t>=</m:t>
        </m:r>
        <m:r>
          <m:t>5</m:t>
        </m:r>
        <m:r>
          <m:rPr>
            <m:sty m:val="p"/>
          </m:rPr>
          <m:t>%</m:t>
        </m:r>
      </m:oMath>
      <w:r>
        <w:t xml:space="preserve"> </w:t>
      </w:r>
      <w:r>
        <w:t xml:space="preserve">— i.e., a 7.0% pre-tax return becomes a 6.65% after-drag return, or 35 basis points per year in absolute terms. The differential is small per year and compounds non-trivially over multi-decade retirement horizons.</w:t>
      </w:r>
    </w:p>
    <w:p>
      <w:pPr>
        <w:pStyle w:val="BodyText"/>
      </w:pPr>
      <w:r>
        <w:t xml:space="preserve">Under Outside payment, the</w:t>
      </w:r>
      <w:r>
        <w:t xml:space="preserve"> </w:t>
      </w:r>
      <m:oMath>
        <m:r>
          <m:t>K</m:t>
        </m:r>
      </m:oMath>
      <w:r>
        <w:t xml:space="preserve"> </w:t>
      </w:r>
      <w:r>
        <w:t xml:space="preserve">dollars migrate from the taxable wrapper into the Roth — the Synthetic Roth Contribution defined in §3. Those dollars now compound at</w:t>
      </w:r>
      <w:r>
        <w:t xml:space="preserve"> </w:t>
      </w:r>
      <m:oMath>
        <m:r>
          <m:t>r</m:t>
        </m:r>
      </m:oMath>
      <w:r>
        <w:t xml:space="preserve"> </w:t>
      </w:r>
      <w:r>
        <w:t xml:space="preserve">instead of</w:t>
      </w:r>
      <w:r>
        <w:t xml:space="preserve"> </w:t>
      </w:r>
      <m:oMath>
        <m:sSub>
          <m:e>
            <m:r>
              <m:t>r</m:t>
            </m:r>
          </m:e>
          <m:sub>
            <m:r>
              <m:t>d</m:t>
            </m:r>
          </m:sub>
        </m:sSub>
      </m:oMath>
      <w:r>
        <w:t xml:space="preserve">. The drag-avoidance value is the lifetime PV/FV differential of the SRC compounding at</w:t>
      </w:r>
      <w:r>
        <w:t xml:space="preserve"> </w:t>
      </w:r>
      <m:oMath>
        <m:r>
          <m:t>r</m:t>
        </m:r>
      </m:oMath>
      <w:r>
        <w:t xml:space="preserve"> </w:t>
      </w:r>
      <w:r>
        <w:t xml:space="preserve">versus a taxable-wrapper counterfactual compounding at</w:t>
      </w:r>
      <w:r>
        <w:t xml:space="preserve"> </w:t>
      </w:r>
      <m:oMath>
        <m:sSub>
          <m:e>
            <m:r>
              <m:t>r</m:t>
            </m:r>
          </m:e>
          <m:sub>
            <m:r>
              <m:t>d</m:t>
            </m:r>
          </m:sub>
        </m:sSub>
      </m:oMath>
      <w:r>
        <w:t xml:space="preserve">. This component exists only under Outside payment — Inside payment moves no dollars from the taxable wrapper, so no drag-avoidance accrues.</w:t>
      </w:r>
    </w:p>
    <w:p>
      <w:pPr>
        <w:pStyle w:val="BodyText"/>
      </w:pPr>
      <w:r>
        <w:t xml:space="preserve">Empirical values:</w:t>
      </w:r>
    </w:p>
    <w:p>
      <w:pPr>
        <w:pStyle w:val="Compact"/>
        <w:numPr>
          <w:ilvl w:val="0"/>
          <w:numId w:val="1005"/>
        </w:numPr>
      </w:pPr>
      <w:r>
        <w:rPr>
          <w:b/>
          <w:bCs/>
        </w:rPr>
        <w:t xml:space="preserve">Outside FA scenario (§5):</w:t>
      </w:r>
      <w:r>
        <w:t xml:space="preserve"> </w:t>
      </w:r>
      <w:r>
        <w:t xml:space="preserve">FV $917.08 / PV $485.78</w:t>
      </w:r>
    </w:p>
    <w:p>
      <w:pPr>
        <w:pStyle w:val="Compact"/>
        <w:numPr>
          <w:ilvl w:val="0"/>
          <w:numId w:val="1005"/>
        </w:numPr>
      </w:pPr>
      <w:r>
        <w:rPr>
          <w:b/>
          <w:bCs/>
        </w:rPr>
        <w:t xml:space="preserve">Outside RMD scenario (§5B):</w:t>
      </w:r>
      <w:r>
        <w:t xml:space="preserve"> </w:t>
      </w:r>
      <w:r>
        <w:t xml:space="preserve">FV $5,092 / PV $1,021</w:t>
      </w:r>
    </w:p>
    <w:p>
      <w:pPr>
        <w:pStyle w:val="FirstParagraph"/>
      </w:pPr>
      <w:r>
        <w:t xml:space="preserve">The RMD-scenario values exceed the FA-scenario values on both metrics. The owner 20 years plus beneficiary 10 years horizon keeps the SRC dollars compounding inside the Roth wrapper longer before distribution than FA’s 20-year owner-only horizon, producing a larger cumulative drag-avoidance differential. The FV ratio (~5.5×) is larger than the PV ratio (~2.1×) because the additional drag-avoidance accruing in the beneficiary period is heavily discounted back across 30 years at the portfolio rate.</w:t>
      </w:r>
    </w:p>
    <w:bookmarkEnd w:id="34"/>
    <w:bookmarkStart w:id="35" w:name="estate-beneficiary-asymmetry"/>
    <w:p>
      <w:pPr>
        <w:pStyle w:val="Heading3"/>
      </w:pPr>
      <w:r>
        <w:t xml:space="preserve">6.2 Estate / Beneficiary Asymmetry</w:t>
      </w:r>
    </w:p>
    <w:p>
      <w:pPr>
        <w:pStyle w:val="FirstParagraph"/>
      </w:pPr>
      <w:r>
        <w:t xml:space="preserve">Roth dollars passed to a non-spouse beneficiary distribute over a 10-year window with no income tax. Taxable-account dollars receive a step-up in basis at death but no income-tax preference for the inheritor. For an estate that will pass to children or non-spouse heirs, the SRC effectively converts taxable-inheritance-bracket future dollars into tax-free-inheritance dollars.</w:t>
      </w:r>
    </w:p>
    <w:p>
      <w:pPr>
        <w:pStyle w:val="BodyText"/>
      </w:pPr>
      <w:r>
        <w:t xml:space="preserve">§5B.5 provides direct empirical evidence for this channel under RMD distributions. The Outside RMD beneficiary period (years 2050–2059) shows a constant $3,901/year ATCF advantage of Outside over Inside — entirely the product of Outside’s larger inherited Roth balance at the moment of owner death (the SRC has compounded for 20 years). This contributes $39,006 of nominal SRC value over the 10-year statutory distribution window, or 55% of the total SRC value across the full 30-year horizon. The PV-at-portfolio-rate share is $5,780 (32% of total). When the discount rate equals the portfolio rate, the inheritance channel still nets to zero (the algebraic identity holds across the full horizon as shown in §5B.3); but the channel is tangible, observable, and shifts the timing of when the SRC value is realized. Households evaluating Roth conversions for estate-planning purposes — a substantial subset of practitioner cases — should treat this beneficiary-period contribution as a first-class component of the conversion’s value, not a footnote.</w:t>
      </w:r>
    </w:p>
    <w:p>
      <w:pPr>
        <w:pStyle w:val="BodyText"/>
      </w:pPr>
      <w:r>
        <w:t xml:space="preserve">Under FA distribution (§5), the inheritance channel does not appear because FA depletes the balance to zero at owner death. The SRC’s owner-period contribution still exists but the inheritance channel is absent by construction. RMD’s 10-year beneficiary distribution makes the inheritance channel structurally visible.</w:t>
      </w:r>
    </w:p>
    <w:bookmarkEnd w:id="35"/>
    <w:bookmarkStart w:id="36" w:name="discount-rate-mismatch"/>
    <w:p>
      <w:pPr>
        <w:pStyle w:val="Heading3"/>
      </w:pPr>
      <w:r>
        <w:t xml:space="preserve">6.3 Discount-Rate Mismatch</w:t>
      </w:r>
    </w:p>
    <w:p>
      <w:pPr>
        <w:pStyle w:val="FirstParagraph"/>
      </w:pPr>
      <w:r>
        <w:t xml:space="preserve">For households whose marginal cost of capital (or marginal time preference for consumption) differs from the portfolio’s expected return, the PV identity in Section 4 no longer holds. If a household discounts future consumption at a rate</w:t>
      </w:r>
      <w:r>
        <w:t xml:space="preserve"> </w:t>
      </w:r>
      <m:oMath>
        <m:r>
          <m:t>ρ</m:t>
        </m:r>
        <m:r>
          <m:rPr>
            <m:sty m:val="p"/>
          </m:rPr>
          <m:t>&gt;</m:t>
        </m:r>
        <m:r>
          <m:t>r</m:t>
        </m:r>
      </m:oMath>
      <w:r>
        <w:t xml:space="preserve">, the SRC produces negative PV (worse than the portfolio’s growth). If</w:t>
      </w:r>
      <w:r>
        <w:t xml:space="preserve"> </w:t>
      </w:r>
      <m:oMath>
        <m:r>
          <m:t>ρ</m:t>
        </m:r>
        <m:r>
          <m:rPr>
            <m:sty m:val="p"/>
          </m:rPr>
          <m:t>&lt;</m:t>
        </m:r>
        <m:r>
          <m:t>r</m:t>
        </m:r>
      </m:oMath>
      <w:r>
        <w:t xml:space="preserve">, positive PV. In practice, retirees are typically risk-averse with personal discount rates close to or below the portfolio’s expected return, making the SRC neutral-to-favorable in PV terms even before including 6.1 and 6.2.</w:t>
      </w:r>
    </w:p>
    <w:p>
      <w:r>
        <w:pict>
          <v:rect style="width:0;height:1.5pt" o:hralign="center" o:hrstd="t" o:hr="t"/>
        </w:pict>
      </w:r>
    </w:p>
    <w:bookmarkEnd w:id="36"/>
    <w:bookmarkEnd w:id="37"/>
    <w:bookmarkStart w:id="38" w:name="implications"/>
    <w:p>
      <w:pPr>
        <w:pStyle w:val="Heading2"/>
      </w:pPr>
      <w:r>
        <w:t xml:space="preserve">7. Implications</w:t>
      </w:r>
    </w:p>
    <w:p>
      <w:pPr>
        <w:pStyle w:val="FirstParagraph"/>
      </w:pPr>
      <w:r>
        <w:rPr>
          <w:b/>
          <w:bCs/>
        </w:rPr>
        <w:t xml:space="preserve">1. Funding source is constrained by age 59½.</w:t>
      </w:r>
    </w:p>
    <w:p>
      <w:pPr>
        <w:pStyle w:val="BodyText"/>
      </w:pPr>
      <w:r>
        <w:rPr>
          <w:i/>
          <w:iCs/>
        </w:rPr>
        <w:t xml:space="preserve">Under age 59½:</w:t>
      </w:r>
      <w:r>
        <w:t xml:space="preserve"> </w:t>
      </w:r>
      <w:r>
        <w:t xml:space="preserve">Outside funding is effectively the only viable option. Inside funding requires an additional pre-tax distribution from the Traditional account to cover the conversion tax, subject to the 10% early-withdrawal penalty. The conversion and the SRC are bundled at this stage — choosing to convert necessarily activates the SRC.</w:t>
      </w:r>
    </w:p>
    <w:p>
      <w:pPr>
        <w:pStyle w:val="BodyText"/>
      </w:pPr>
      <w:r>
        <w:rPr>
          <w:i/>
          <w:iCs/>
        </w:rPr>
        <w:t xml:space="preserve">At or above age 59½:</w:t>
      </w:r>
      <w:r>
        <w:t xml:space="preserve"> </w:t>
      </w:r>
      <w:r>
        <w:t xml:space="preserve">the early-withdrawal penalty does not apply, and Inside funding becomes a real option. The household now faces two decisions whose analytical content separates:</w:t>
      </w:r>
    </w:p>
    <w:p>
      <w:pPr>
        <w:numPr>
          <w:ilvl w:val="0"/>
          <w:numId w:val="1006"/>
        </w:numPr>
      </w:pPr>
      <w:r>
        <w:rPr>
          <w:i/>
          <w:iCs/>
        </w:rPr>
        <w:t xml:space="preserve">Conversion decision</w:t>
      </w:r>
      <w:r>
        <w:t xml:space="preserve"> </w:t>
      </w:r>
      <w:r>
        <w:t xml:space="preserve">(yes/no, how much). Determined by the sum at the portfolio rate of PV alpha components that exist regardless of funding source: the rate-arbitrage Core (the spread alpha between</w:t>
      </w:r>
      <w:r>
        <w:t xml:space="preserve"> </w:t>
      </w:r>
      <m:oMath>
        <m:sSub>
          <m:e>
            <m:r>
              <m:t>t</m:t>
            </m:r>
          </m:e>
          <m:sub>
            <m:r>
              <m:t>C</m:t>
            </m:r>
          </m:sub>
        </m:sSub>
      </m:oMath>
      <w:r>
        <w:t xml:space="preserve"> </w:t>
      </w:r>
      <w:r>
        <w:t xml:space="preserve">and</w:t>
      </w:r>
      <w:r>
        <w:t xml:space="preserve"> </w:t>
      </w:r>
      <m:oMath>
        <m:sSub>
          <m:e>
            <m:r>
              <m:t>t</m:t>
            </m:r>
          </m:e>
          <m:sub>
            <m:r>
              <m:t>D</m:t>
            </m:r>
          </m:sub>
        </m:sSub>
      </m:oMath>
      <w:r>
        <w:t xml:space="preserve"> </w:t>
      </w:r>
      <w:r>
        <w:t xml:space="preserve">on the converted principal); the IRMAA / Medicare alpha (a separable channel for households whose post-conversion income strategy improves their Medicare-surcharge bracket exposure; not decomposed in this paper); and the RMD tax-drag alpha (drag avoided on the reinvested-RMD stream that the conversion eliminates by shrinking the Traditional balance; present for both Inside and Outside conversions, since the RMD reduction follows from the conversion event itself, not the funding source). An Inside conversion is rational if the sum of these alpha components is PV-positive, since Inside funding requires no outside cash outlay.</w:t>
      </w:r>
    </w:p>
    <w:p>
      <w:pPr>
        <w:numPr>
          <w:ilvl w:val="0"/>
          <w:numId w:val="1006"/>
        </w:numPr>
      </w:pPr>
      <w:r>
        <w:rPr>
          <w:i/>
          <w:iCs/>
        </w:rPr>
        <w:t xml:space="preserve">Funding decision</w:t>
      </w:r>
      <w:r>
        <w:t xml:space="preserve"> </w:t>
      </w:r>
      <w:r>
        <w:t xml:space="preserve">(Inside vs Outside, conditional on having chosen to convert). Choosing Outside funding relocates the</w:t>
      </w:r>
      <w:r>
        <w:t xml:space="preserve"> </w:t>
      </w:r>
      <m:oMath>
        <m:r>
          <m:t>K</m:t>
        </m:r>
      </m:oMath>
      <w:r>
        <w:t xml:space="preserve"> </w:t>
      </w:r>
      <w:r>
        <w:t xml:space="preserve">dollars from a taxable wrapper compounding at</w:t>
      </w:r>
      <w:r>
        <w:t xml:space="preserve"> </w:t>
      </w:r>
      <m:oMath>
        <m:sSub>
          <m:e>
            <m:r>
              <m:t>r</m:t>
            </m:r>
          </m:e>
          <m:sub>
            <m:r>
              <m:t>d</m:t>
            </m:r>
          </m:sub>
        </m:sSub>
      </m:oMath>
      <w:r>
        <w:t xml:space="preserve"> </w:t>
      </w:r>
      <w:r>
        <w:t xml:space="preserve">into a tax-free wrapper compounding at</w:t>
      </w:r>
      <w:r>
        <w:t xml:space="preserve"> </w:t>
      </w:r>
      <m:oMath>
        <m:r>
          <m:t>r</m:t>
        </m:r>
      </m:oMath>
      <w:r>
        <w:t xml:space="preserve">. This is an asset-allocation move within the household’s portfolio: the conversion tax becomes an investment rather than a cost. The asset-allocation payoff is the tax-drag-differential alpha of §6.1 ($1,021 PV in the Outside RMD scenario). This payoff is added to the conversion-only alpha sum to produce the total alpha of an Outside conversion.</w:t>
      </w:r>
    </w:p>
    <w:p>
      <w:pPr>
        <w:pStyle w:val="FirstParagraph"/>
      </w:pPr>
      <w:r>
        <w:t xml:space="preserve">The SRC has no existence independent of the conversion: it materializes only as a side effect of choosing Outside funding for a conversion the household has already decided to undertake.</w:t>
      </w:r>
    </w:p>
    <w:p>
      <w:pPr>
        <w:pStyle w:val="BodyText"/>
      </w:pPr>
      <w:r>
        <w:rPr>
          <w:b/>
          <w:bCs/>
        </w:rPr>
        <w:t xml:space="preserve">2. The SRC and the rate-arbitrage Core are economically separable. Published calculators and academic literature do not separate them cleanly.</w:t>
      </w:r>
      <w:r>
        <w:t xml:space="preserve"> </w:t>
      </w:r>
      <w:r>
        <w:t xml:space="preserve">Cheshire (2025, SSRN 5205840) identified this conflation at the algebraic level. The current paper’s empirical evidence strengthens that argument: the constant $1,695.86/year (Outside − Inside) ATCF increment under FA distribution (§5), the $71,229.59 lifetime nominal payoff under RMD distribution (§5B), and the cross-bracket constancy of the 3.9647 growth multiple (§5B.4) are structural signatures of the SRC’s identity as a distinct economic component, visible only when the SRC is isolated from the rate-arbitrage Core. A calculator that pools the SRC into a single</w:t>
      </w:r>
      <w:r>
        <w:t xml:space="preserve"> </w:t>
      </w:r>
      <w:r>
        <w:t xml:space="preserve">“conversion value”</w:t>
      </w:r>
      <w:r>
        <w:t xml:space="preserve"> </w:t>
      </w:r>
      <w:r>
        <w:t xml:space="preserve">cannot recover any of these signatures and produces misleading recommendations especially when</w:t>
      </w:r>
      <w:r>
        <w:t xml:space="preserve"> </w:t>
      </w:r>
      <m:oMath>
        <m:sSub>
          <m:e>
            <m:r>
              <m:t>t</m:t>
            </m:r>
          </m:e>
          <m:sub>
            <m:r>
              <m:t>C</m:t>
            </m:r>
          </m:sub>
        </m:sSub>
        <m:r>
          <m:rPr>
            <m:sty m:val="p"/>
          </m:rPr>
          <m:t>&gt;</m:t>
        </m:r>
        <m:sSub>
          <m:e>
            <m:r>
              <m:t>t</m:t>
            </m:r>
          </m:e>
          <m:sub>
            <m:r>
              <m:t>D</m:t>
            </m:r>
          </m:sub>
        </m:sSub>
      </m:oMath>
      <w:r>
        <w:t xml:space="preserve"> </w:t>
      </w:r>
      <w:r>
        <w:t xml:space="preserve">— where the rate-arbitrage Core is negative but the SRC’s asset-allocation payoff (under Outside funding) can render the household total still favorable.</w:t>
      </w:r>
    </w:p>
    <w:p>
      <w:pPr>
        <w:pStyle w:val="BodyText"/>
      </w:pPr>
      <w:r>
        <w:rPr>
          <w:b/>
          <w:bCs/>
        </w:rPr>
        <w:t xml:space="preserve">3. The conversion decision is driven by PV of alpha components, not rules of thumb.</w:t>
      </w:r>
      <w:r>
        <w:t xml:space="preserve"> </w:t>
      </w:r>
      <w:r>
        <w:t xml:space="preserve">The conventional</w:t>
      </w:r>
      <w:r>
        <w:t xml:space="preserve"> </w:t>
      </w:r>
      <w:r>
        <w:rPr>
          <w:i/>
          <w:iCs/>
        </w:rPr>
        <w:t xml:space="preserve">“convert only when future tax rates are higher”</w:t>
      </w:r>
      <w:r>
        <w:t xml:space="preserve"> </w:t>
      </w:r>
      <w:r>
        <w:t xml:space="preserve">rule captures the rate-arbitrage Core in isolation and ignores both the IRMAA / Medicare alpha and the RMD tax-drag alpha; conventional Outside-funding advice frames the conversion tax as a</w:t>
      </w:r>
      <w:r>
        <w:t xml:space="preserve"> </w:t>
      </w:r>
      <w:r>
        <w:t xml:space="preserve">“cost”</w:t>
      </w:r>
      <w:r>
        <w:t xml:space="preserve"> </w:t>
      </w:r>
      <w:r>
        <w:t xml:space="preserve">rather than an asset-allocation investment. A household running the full alpha decomposition — Core + IRMAA + RMD tax-drag on the conversion side, plus tax-drag-differential on the funding side under Outside payment — can identify favorable conversions even when</w:t>
      </w:r>
      <w:r>
        <w:t xml:space="preserve"> </w:t>
      </w:r>
      <m:oMath>
        <m:sSub>
          <m:e>
            <m:r>
              <m:t>t</m:t>
            </m:r>
          </m:e>
          <m:sub>
            <m:r>
              <m:t>D</m:t>
            </m:r>
          </m:sub>
        </m:sSub>
        <m:r>
          <m:rPr>
            <m:sty m:val="p"/>
          </m:rPr>
          <m:t>≤</m:t>
        </m:r>
        <m:sSub>
          <m:e>
            <m:r>
              <m:t>t</m:t>
            </m:r>
          </m:e>
          <m:sub>
            <m:r>
              <m:t>C</m:t>
            </m:r>
          </m:sub>
        </m:sSub>
      </m:oMath>
      <w:r>
        <w:t xml:space="preserve"> </w:t>
      </w:r>
      <w:r>
        <w:t xml:space="preserve">and can correctly reject conversions whose pooled alpha is negative despite a favorable rate spread.</w:t>
      </w:r>
    </w:p>
    <w:p>
      <w:r>
        <w:pict>
          <v:rect style="width:0;height:1.5pt" o:hralign="center" o:hrstd="t" o:hr="t"/>
        </w:pict>
      </w:r>
    </w:p>
    <w:bookmarkEnd w:id="38"/>
    <w:bookmarkStart w:id="39"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7"/>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7"/>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7"/>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 The 10-year beneficiary period contributes $3,901/yr of SRC value — direct empirical evidence of the inheritance-asymmetry channel discussed in §6.2.</w:t>
      </w:r>
    </w:p>
    <w:p>
      <w:pPr>
        <w:numPr>
          <w:ilvl w:val="0"/>
          <w:numId w:val="1007"/>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IRMAA savings, and reduced-RMD tax-drag.</w:t>
      </w:r>
    </w:p>
    <w:p>
      <w:pPr>
        <w:pStyle w:val="FirstParagraph"/>
      </w:pPr>
      <w:r>
        <w:t xml:space="preserve">The SRC’s lasting value emerges not from PV at the portfolio rate (which is zero) but from (a) the tax-drag differential between Roth and taxable wrappers, (b) the favorable inheritance treatment of Roth balances, and (c) deviations between the household’s personal discount rate and the portfolio’s expected return.</w:t>
      </w:r>
    </w:p>
    <w:p>
      <w:pPr>
        <w:pStyle w:val="BodyText"/>
      </w:pPr>
      <w:r>
        <w:t xml:space="preserve">Including the SRC turns Roth conversion analysis from a tax-rate-spread question into a wrapper-allocation question. The household is not just choosing whether to pay tax now or later. It is choosing whether to migrate a meaningful sum (</w:t>
      </w:r>
      <m:oMath>
        <m:r>
          <m:t>K</m:t>
        </m:r>
      </m:oMath>
      <w:r>
        <w:t xml:space="preserve">) of taxable-wrapper savings into a tax-free wrapper. That second choice is partially captured by Reichenstein &amp; Meyer (2017) under tax-drag conditions, partially captured by Vanguard’s BETR (2025) as a parameter adjustment, and independently surfaced by Nalebuff, Haghani &amp; White (2025) as a</w:t>
      </w:r>
      <w:r>
        <w:t xml:space="preserve"> </w:t>
      </w:r>
      <w:r>
        <w:t xml:space="preserve">“size matters”</w:t>
      </w:r>
      <w:r>
        <w:t xml:space="preserve"> </w:t>
      </w:r>
      <w:r>
        <w:t xml:space="preserve">heuristic — but a separable per-year IRR / PV / FV decomposition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has not, to our knowledge, been published outside the SRC framework.</w:t>
      </w:r>
    </w:p>
    <w:p>
      <w:pPr>
        <w:pStyle w:val="BodyText"/>
      </w:pPr>
      <w:r>
        <w:t xml:space="preserve">The published practitioner NPV literature — most prominently McQuarrie (2024) — has reached pessimistic conclusions about RMD-reducing Roth conversions: under typical assumptions, the upfront conversion tax is said not to be recouped until roughly age 97 — long after the taxpayer’s death — with the realized payoff accruing entirely to the heirs. These conclusions are dissolved by the SRC accounting. McQuarrie’s framework runs entirely off the Traditional shadow balance, structurally omitting the post-conversion Roth balance and treating the conversion tax as a one-sided cost rather than a wrapper migration of the household’s own funds. Under correct accounting there is no recoupment-age threshold: a Roth conversion has no time-horizon break-even because there is no cost. The conversion’s PV alpha components — rate-arbitrage Core, IRMAA, RMD tax-drag, and (under outside funding) tax-drag-differential — sum to a single figure at conversion time, either positive (profitable from year 0) or negative (unprofitable from year 0); time merely unfolds the consequences. Households deferring or rejecting otherwise-favorable conversions on the basis of published recoupment-age advice are being misled by the omission, not the math.</w:t>
      </w:r>
    </w:p>
    <w:p>
      <w:r>
        <w:pict>
          <v:rect style="width:0;height:1.5pt" o:hralign="center" o:hrstd="t" o:hr="t"/>
        </w:pict>
      </w:r>
    </w:p>
    <w:bookmarkEnd w:id="39"/>
    <w:bookmarkStart w:id="40"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40"/>
    <w:bookmarkStart w:id="43" w:name="X1fb9906062232a1c9ed64da0711341d859c89e8"/>
    <w:p>
      <w:pPr>
        <w:pStyle w:val="Heading2"/>
      </w:pPr>
      <w:r>
        <w:t xml:space="preserve">Appendix A: Selected Values from All Four Scenarios</w:t>
      </w:r>
    </w:p>
    <w:bookmarkStart w:id="41"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IRMAA Savings (FV)</w:t>
            </w:r>
          </w:p>
        </w:tc>
        <w:tc>
          <w:tcPr/>
          <w:p>
            <w:pPr>
              <w:pStyle w:val="Compact"/>
            </w:pPr>
            <w:r>
              <w:t xml:space="preserve">$7,680.36</w:t>
            </w:r>
          </w:p>
        </w:tc>
        <w:tc>
          <w:tcPr/>
          <w:p>
            <w:pPr>
              <w:pStyle w:val="Compact"/>
            </w:pPr>
            <w:r>
              <w:t xml:space="preserve">$7,680.36</w:t>
            </w:r>
          </w:p>
        </w:tc>
      </w:tr>
      <w:tr>
        <w:tc>
          <w:tcPr/>
          <w:p>
            <w:pPr>
              <w:pStyle w:val="Compact"/>
            </w:pPr>
            <w:r>
              <w:t xml:space="preserve">IRMAA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41"/>
    <w:bookmarkStart w:id="42"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IRMAA Savings (FV)</w:t>
            </w:r>
          </w:p>
        </w:tc>
        <w:tc>
          <w:tcPr/>
          <w:p>
            <w:pPr>
              <w:pStyle w:val="Compact"/>
            </w:pPr>
            <w:r>
              <w:t xml:space="preserve">$7,648.20</w:t>
            </w:r>
          </w:p>
        </w:tc>
        <w:tc>
          <w:tcPr/>
          <w:p>
            <w:pPr>
              <w:pStyle w:val="Compact"/>
            </w:pPr>
            <w:r>
              <w:t xml:space="preserve">$7,648.20</w:t>
            </w:r>
          </w:p>
        </w:tc>
      </w:tr>
      <w:tr>
        <w:tc>
          <w:tcPr/>
          <w:p>
            <w:pPr>
              <w:pStyle w:val="Compact"/>
            </w:pPr>
            <w:r>
              <w:t xml:space="preserve">IRMAA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8"/>
        </w:numPr>
      </w:pPr>
      <w:r>
        <w:t xml:space="preserve">The</w:t>
      </w:r>
      <w:r>
        <w:t xml:space="preserve"> </w:t>
      </w:r>
      <w:r>
        <w:rPr>
          <w:b/>
          <w:bCs/>
        </w:rPr>
        <w:t xml:space="preserve">Synthetic Roth Contribution (FV)</w:t>
      </w:r>
      <w:r>
        <w:t xml:space="preserve"> </w:t>
      </w:r>
      <w:r>
        <w:t xml:space="preserve">is empirically validated: Outside FA = $33,917.27 =</w:t>
      </w:r>
      <w:r>
        <w:t xml:space="preserve"> </w:t>
      </w:r>
      <m:oMath>
        <m:r>
          <m:t>K</m:t>
        </m:r>
        <m:r>
          <m:rPr>
            <m:sty m:val="p"/>
          </m:rPr>
          <m:t>×</m:t>
        </m:r>
      </m:oMath>
      <w:r>
        <w:t xml:space="preserve"> </w:t>
      </w:r>
      <w:r>
        <w:t xml:space="preserve">annuity-factor multiple = $17,966 × 1.88786. Outside RMD = $71,229.59 ≈ the nominal 30-year (Outside − Inside) ATCF delta of $71,229.46. The stored SRC value captures the lifetime nominal payoff across both distribution methods.</w:t>
      </w:r>
    </w:p>
    <w:p>
      <w:pPr>
        <w:pStyle w:val="Compact"/>
        <w:numPr>
          <w:ilvl w:val="0"/>
          <w:numId w:val="1008"/>
        </w:numPr>
      </w:pPr>
      <w:r>
        <w:rPr>
          <w:b/>
          <w:bCs/>
        </w:rPr>
        <w:t xml:space="preserve">RMD’s higher SRC</w:t>
      </w:r>
      <w:r>
        <w:t xml:space="preserve"> </w:t>
      </w:r>
      <w:r>
        <w:t xml:space="preserve">(~$71,230 vs FA’s ~$33,917) reflects the longer compounding horizon: RMD’s beneficiary 10-year window extends the SRC compound period beyond the owner-only horizon of FA, increasing nominal lifetime value. PV at 7% is identical across methods ($17,966 =</w:t>
      </w:r>
      <w:r>
        <w:t xml:space="preserve"> </w:t>
      </w:r>
      <m:oMath>
        <m:r>
          <m:t>K</m:t>
        </m:r>
      </m:oMath>
      <w:r>
        <w:t xml:space="preserve">) — exactly the algebraic identity of §4.</w:t>
      </w:r>
    </w:p>
    <w:p>
      <w:pPr>
        <w:pStyle w:val="Compact"/>
        <w:numPr>
          <w:ilvl w:val="0"/>
          <w:numId w:val="1008"/>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of the lifetime distributions into higher brackets, increasing the time-weighted average.</w:t>
      </w:r>
    </w:p>
    <w:p>
      <w:pPr>
        <w:pStyle w:val="Compact"/>
        <w:numPr>
          <w:ilvl w:val="0"/>
          <w:numId w:val="1008"/>
        </w:numPr>
      </w:pPr>
      <w:r>
        <w:rPr>
          <w:b/>
          <w:bCs/>
        </w:rPr>
        <w:t xml:space="preserve">SRC Tax-Drag</w:t>
      </w:r>
      <w:r>
        <w:t xml:space="preserve"> </w:t>
      </w:r>
      <w:r>
        <w:t xml:space="preserve">is non-zero only in Outside scenarios because it captures the value of</w:t>
      </w:r>
      <w:r>
        <w:t xml:space="preserve"> </w:t>
      </w:r>
      <m:oMath>
        <m:r>
          <m:t>K</m:t>
        </m:r>
      </m:oMath>
      <w:r>
        <w:t xml:space="preserve"> </w:t>
      </w:r>
      <w:r>
        <w:t xml:space="preserve">dollars escaping taxable-account drag; this effect does not exist when no outside dollars are migrated into the Roth wrapper.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1–3% absolute drag this term scales materially.</w:t>
      </w:r>
    </w:p>
    <w:p>
      <w:pPr>
        <w:pStyle w:val="Compact"/>
        <w:numPr>
          <w:ilvl w:val="0"/>
          <w:numId w:val="1008"/>
        </w:numPr>
      </w:pPr>
      <w:r>
        <w:rPr>
          <w:b/>
          <w:bCs/>
        </w:rPr>
        <w:t xml:space="preserve">Tax-Rate Spread, IRMAA Savings, and RMD Tax-Drag are identical between Inside and Outside</w:t>
      </w:r>
      <w:r>
        <w:t xml:space="preserve"> </w:t>
      </w:r>
      <w:r>
        <w:t xml:space="preserve">within each distribution method — confirming these components are independent of payment source, as the SRC framework predicts.</w:t>
      </w:r>
    </w:p>
    <w:p>
      <w:pPr>
        <w:pStyle w:val="Compact"/>
        <w:numPr>
          <w:ilvl w:val="0"/>
          <w:numId w:val="1008"/>
        </w:numPr>
      </w:pPr>
      <w:r>
        <w:rPr>
          <w:b/>
          <w:bCs/>
        </w:rPr>
        <w:t xml:space="preserve">Total ATCF Change (FV) differs between scenarios</w:t>
      </w:r>
      <w:r>
        <w:t xml:space="preserve"> </w:t>
      </w:r>
      <w:r>
        <w:t xml:space="preserve">because Outside’s distribution stream includes the year-by-year +$1,695.86 increment from the SRC (under FA). The Outside FV equals approximately Inside FV + (</w:t>
      </w:r>
      <m:oMath>
        <m:r>
          <m:t>K</m:t>
        </m:r>
        <m:r>
          <m:rPr>
            <m:sty m:val="p"/>
          </m:rPr>
          <m:t>×</m:t>
        </m:r>
      </m:oMath>
      <w:r>
        <w:t xml:space="preserve"> </w:t>
      </w:r>
      <w:r>
        <w:t xml:space="preserve">Annuity-Factor Multiple) = $31,937 + $33,917 = $65,854.</w:t>
      </w:r>
    </w:p>
    <w:p>
      <w:pPr>
        <w:pStyle w:val="Compact"/>
        <w:numPr>
          <w:ilvl w:val="0"/>
          <w:numId w:val="1008"/>
        </w:numPr>
      </w:pPr>
      <w:r>
        <w:rPr>
          <w:b/>
          <w:bCs/>
        </w:rPr>
        <w:t xml:space="preserve">Full-Cash-Flow IRR</w:t>
      </w:r>
      <w:r>
        <w:t xml:space="preserve"> </w:t>
      </w:r>
      <w:r>
        <w:t xml:space="preserve">is undefined under Inside payment (no outside outlay; cash-flow stream is purely positive). Under Outside payment it is meaningful: the rate at which the conversion’s full cash-flow profile produces NPV = 0. The Outside IRR exceeds the portfolio rate by the combined spread + IRMAA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2026-05-13. Empirical results produced by the RothGPT calculation engine.</w:t>
      </w:r>
    </w:p>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2026-05-14T16:36:37Z</dcterms:created>
  <dcterms:modified xsi:type="dcterms:W3CDTF">2026-05-14T16:36:37Z</dcterms:modified>
</cp:coreProperties>
</file>

<file path=docProps/custom.xml><?xml version="1.0" encoding="utf-8"?>
<Properties xmlns="http://schemas.openxmlformats.org/officeDocument/2006/custom-properties" xmlns:vt="http://schemas.openxmlformats.org/officeDocument/2006/docPropsVTypes"/>
</file>