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In our</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w:t>
      </w:r>
      <w:r>
        <w:t xml:space="preserve">scenario, with Fixed Annuity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 With RMD distributions, it is determined empirically from the year-by-year RMD divisor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2026-05-14T21:55:48Z</dcterms:created>
  <dcterms:modified xsi:type="dcterms:W3CDTF">2026-05-14T21:55:48Z</dcterms:modified>
</cp:coreProperties>
</file>

<file path=docProps/custom.xml><?xml version="1.0" encoding="utf-8"?>
<Properties xmlns="http://schemas.openxmlformats.org/officeDocument/2006/custom-properties" xmlns:vt="http://schemas.openxmlformats.org/officeDocument/2006/docPropsVTypes"/>
</file>