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5"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2" w:name="tax-drag-differential"/>
    <w:p>
      <w:pPr>
        <w:pStyle w:val="Heading3"/>
      </w:pPr>
      <w:r>
        <w:t xml:space="preserve">6.1 Tax-Drag Differential</w:t>
      </w:r>
    </w:p>
    <w:p>
      <w:pPr>
        <w:pStyle w:val="FirstParagraph"/>
      </w:pPr>
      <w:r>
        <w:t xml:space="preserve">Inside the Roth wrapper, every dollar compounds at</w:t>
      </w:r>
      <w:r>
        <w:t xml:space="preserve"> </w:t>
      </w:r>
      <m:oMath>
        <m:r>
          <m:t>r</m:t>
        </m:r>
      </m:oMath>
      <w:r>
        <w:t xml:space="preserve">. In a taxable bank or brokerage wrapper the same dollar pays tax on dividends, interest, realized capital gains, and turnover-driven distributions every year, compounding instead at the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percent of the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This small annual differential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2"/>
    <w:bookmarkStart w:id="33"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Empirical evidence for this channel emerges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3"/>
    <w:bookmarkStart w:id="34"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4"/>
    <w:bookmarkEnd w:id="35"/>
    <w:bookmarkStart w:id="36"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6"/>
    <w:bookmarkStart w:id="37"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8"/>
    <w:bookmarkStart w:id="41" w:name="X1fb9906062232a1c9ed64da0711341d859c89e8"/>
    <w:p>
      <w:pPr>
        <w:pStyle w:val="Heading2"/>
      </w:pPr>
      <w:r>
        <w:t xml:space="preserve">Appendix A: Selected Values from All Four Scenarios</w:t>
      </w:r>
    </w:p>
    <w:bookmarkStart w:id="39"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9"/>
    <w:bookmarkStart w:id="40"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2026-05-14T23:33:47Z</dcterms:created>
  <dcterms:modified xsi:type="dcterms:W3CDTF">2026-05-14T23:33:47Z</dcterms:modified>
</cp:coreProperties>
</file>

<file path=docProps/custom.xml><?xml version="1.0" encoding="utf-8"?>
<Properties xmlns="http://schemas.openxmlformats.org/officeDocument/2006/custom-properties" xmlns:vt="http://schemas.openxmlformats.org/officeDocument/2006/docPropsVTypes"/>
</file>