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settlement-options"/>
    <w:p>
      <w:pPr>
        <w:pStyle w:val="Heading3"/>
      </w:pPr>
      <w:r>
        <w:t xml:space="preserve">3.3 Two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 gross is reduced by</w:t>
      </w:r>
      <w:r>
        <w:t xml:space="preserve"> </w:t>
      </w:r>
      <m:oMath>
        <m:r>
          <m:t>C</m:t>
        </m:r>
      </m:oMath>
      <w:r>
        <w:t xml:space="preserve"> </w:t>
      </w:r>
      <w:r>
        <w:t xml:space="preserve">= $100,000: $78,000 of converted principal moves to Roth (the converted balance net of withheld conversion tax), and $22,000 is withheld and remitted to the tax authority. The Bank’s $22,000 reserve remains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2026-05-14T11:50:16Z</dcterms:created>
  <dcterms:modified xsi:type="dcterms:W3CDTF">2026-05-14T11:50:16Z</dcterms:modified>
</cp:coreProperties>
</file>

<file path=docProps/custom.xml><?xml version="1.0" encoding="utf-8"?>
<Properties xmlns="http://schemas.openxmlformats.org/officeDocument/2006/custom-properties" xmlns:vt="http://schemas.openxmlformats.org/officeDocument/2006/docPropsVTypes"/>
</file>