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2026-05-15</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rate</w:t>
      </w:r>
      <w:r>
        <w:t xml:space="preserve"> </w:t>
      </w:r>
      <m:oMath>
        <m:sSub>
          <m:e>
            <m:r>
              <m:t>t</m:t>
            </m:r>
          </m:e>
          <m:sub>
            <m:r>
              <m:t>C</m:t>
            </m:r>
          </m:sub>
        </m:sSub>
      </m:oMath>
      <w:r>
        <w:t xml:space="preserve"> </w:t>
      </w:r>
      <w:r>
        <w:t xml:space="preserve">and the future distribution-year rate</w:t>
      </w:r>
      <w:r>
        <w:t xml:space="preserve"> </w:t>
      </w:r>
      <m:oMath>
        <m:sSub>
          <m:e>
            <m:r>
              <m:t>t</m:t>
            </m:r>
          </m:e>
          <m:sub>
            <m:r>
              <m:t>D</m:t>
            </m:r>
          </m:sub>
        </m:sSub>
      </m:oMath>
      <w:r>
        <w:t xml:space="preserve">. This framing is incomplete. When the conversion tax is paid from outside the retirement account, dollars equivalent to the conversion tax migrate from a taxable wrapper into a tax-free wrapper, where they grow free of income tax for the life of the account and any beneficiaries. We name this effect the</w:t>
      </w:r>
      <w:r>
        <w:t xml:space="preserve"> </w:t>
      </w:r>
      <w:r>
        <w:rPr>
          <w:b/>
          <w:bCs/>
        </w:rPr>
        <w:t xml:space="preserve">Synthetic Roth Contribution</w:t>
      </w:r>
      <w:r>
        <w:t xml:space="preserve"> </w:t>
      </w:r>
      <w:r>
        <w:t xml:space="preserve">(SRC). The SRC framework was introduced in Cheshire (2025, SSRN 5205840), which established the concept and decomposed conversion-tax payback into SRC plus tax-rate-arbitrage components. The present paper formalizes the SRC as a separable component with its own per-year IRR / PV / FV identity, distinct from the rate-arbitrage Core, the Medicare-surcharge-reduction alpha, and the RMD tax-drag alpha.</w:t>
      </w:r>
    </w:p>
    <w:p>
      <w:pPr>
        <w:pStyle w:val="BodyText"/>
      </w:pPr>
      <w:r>
        <w:t xml:space="preserve">We prove the SRC’s central result four independent ways: (1) algebraically, via the annuity-payment / present-value identity, showing that 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(2) empirically under Fixed Annuity distributions, where the Outside − Inside per-year ATCF increment is exactly $1,695.86 in all 20 distribution years, matching the algebraic prediction to the cent; (3) empirically under RMD distributions, where the per-year increment varies but integrates in PV to within 4 cents of the conversion tax over the 30-year horizon; and (4) decompositionally, showing that the end-of-life wealth difference between Outside and Inside paths cannot be reconciled without including the SRC term. The SRC’s lasting economic value emerges through the tax-drag-differential channel: SRC dollars compound at the Roth’s tax-free rate</w:t>
      </w:r>
      <w:r>
        <w:t xml:space="preserve"> </w:t>
      </w:r>
      <m:oMath>
        <m:r>
          <m:t>r</m:t>
        </m:r>
      </m:oMath>
      <w:r>
        <w:t xml:space="preserve"> </w:t>
      </w:r>
      <w:r>
        <w:t xml:space="preserve">instead of the taxable wrapper’s after-drag rate</w:t>
      </w:r>
      <w:r>
        <w:t xml:space="preserve"> </w:t>
      </w:r>
      <m:oMath>
        <m:sSub>
          <m:e>
            <m:r>
              <m:t>r</m:t>
            </m:r>
          </m:e>
          <m:sub>
            <m:r>
              <m:t>d</m:t>
            </m:r>
          </m:sub>
        </m:sSub>
      </m:oMath>
      <w:r>
        <w:t xml:space="preserve">. These results extend Reichenstein &amp; Meyer (2017), McQuarrie &amp; DiLellio (2023), Vanguard’s 2025 BETR, and Nalebuff/Haghani/White (2025) by adding a separable per-year decomposition with a closed-form identity, and reconcile McQuarrie (2024)’s</w:t>
      </w:r>
      <w:r>
        <w:t xml:space="preserve"> </w:t>
      </w:r>
      <w:r>
        <w:t xml:space="preserve">“live past 97 to break even”</w:t>
      </w:r>
      <w:r>
        <w:t xml:space="preserve"> </w:t>
      </w:r>
      <w:r>
        <w:t xml:space="preserve">conclusion by incorporating the post-conversion Roth balance into the NPV accounting.</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pPr>
        <w:pStyle w:val="BodyText"/>
      </w:pPr>
      <w:r>
        <w:rPr>
          <w:b/>
          <w:bCs/>
        </w:rPr>
        <w:t xml:space="preserve">Contributions of this paper.</w:t>
      </w:r>
    </w:p>
    <w:p>
      <w:pPr>
        <w:numPr>
          <w:ilvl w:val="0"/>
          <w:numId w:val="1001"/>
        </w:numPr>
      </w:pPr>
      <w:r>
        <w:rPr>
          <w:b/>
          <w:bCs/>
        </w:rPr>
        <w:t xml:space="preserve">Formal definition and separable decomposition.</w:t>
      </w:r>
      <w:r>
        <w:t xml:space="preserve"> </w:t>
      </w:r>
      <w:r>
        <w:t xml:space="preserve">The SRC is defined as the conversion-tax amount</w:t>
      </w:r>
      <w:r>
        <w:t xml:space="preserve"> </w:t>
      </w:r>
      <m:oMath>
        <m:r>
          <m:t>K</m:t>
        </m:r>
      </m:oMath>
      <w:r>
        <w:t xml:space="preserve"> </w:t>
      </w:r>
      <w:r>
        <w:t xml:space="preserve">migrating from the bank account into the Roth wrapper under Outside funding, with its own per-year IRR / PV / FV identity distinct from the rate-arbitrage Core, the Medicare-surcharge-reduction alpha, and the RMD tax-drag alpha. To our knowledge, this separable decomposition has not been published outside this framework.</w:t>
      </w:r>
    </w:p>
    <w:p>
      <w:pPr>
        <w:numPr>
          <w:ilvl w:val="0"/>
          <w:numId w:val="1001"/>
        </w:numPr>
      </w:pPr>
      <w:r>
        <w:rPr>
          <w:b/>
          <w:bCs/>
        </w:rPr>
        <w:t xml:space="preserve">Algebraic proof of the matched-rate PV identity.</w:t>
      </w:r>
      <w:r>
        <w:t xml:space="preserve"> </w:t>
      </w:r>
      <w:r>
        <w:t xml:space="preserve">When the discount rate equals the portfolio rate,</w:t>
      </w:r>
      <w:r>
        <w:t xml:space="preserve"> </w:t>
      </w:r>
      <m:oMath>
        <m:sSub>
          <m:e>
            <m:r>
              <m:rPr>
                <m:sty m:val="p"/>
              </m:rPr>
              <m:t>P</m:t>
            </m:r>
            <m:r>
              <m:rPr>
                <m:sty m:val="p"/>
              </m:rPr>
              <m:t>V</m:t>
            </m:r>
          </m:e>
          <m:sub>
            <m:r>
              <m:t>r</m:t>
            </m:r>
          </m:sub>
        </m:sSub>
        <m:r>
          <m:rPr>
            <m:sty m:val="p"/>
          </m:rPr>
          <m:t>(</m:t>
        </m:r>
        <m:r>
          <m:rPr>
            <m:sty m:val="p"/>
          </m:rPr>
          <m:t>O</m:t>
        </m:r>
        <m:r>
          <m:rPr>
            <m:sty m:val="p"/>
          </m:rPr>
          <m:t>u</m:t>
        </m:r>
        <m:r>
          <m:rPr>
            <m:sty m:val="p"/>
          </m:rPr>
          <m:t>t</m:t>
        </m:r>
        <m:r>
          <m:rPr>
            <m:sty m:val="p"/>
          </m:rPr>
          <m:t>s</m:t>
        </m:r>
        <m:r>
          <m:rPr>
            <m:sty m:val="p"/>
          </m:rPr>
          <m:t>i</m:t>
        </m:r>
        <m:r>
          <m:rPr>
            <m:sty m:val="p"/>
          </m:rPr>
          <m:t>d</m:t>
        </m:r>
        <m:r>
          <m:rPr>
            <m:sty m:val="p"/>
          </m:rPr>
          <m:t>e</m:t>
        </m:r>
        <m:r>
          <m:rPr>
            <m:sty m:val="p"/>
          </m:rPr>
          <m:t>−</m:t>
        </m:r>
        <m:r>
          <m:rPr>
            <m:sty m:val="p"/>
          </m:rPr>
          <m:t>I</m:t>
        </m:r>
        <m:r>
          <m:rPr>
            <m:sty m:val="p"/>
          </m:rPr>
          <m:t>n</m:t>
        </m:r>
        <m:r>
          <m:rPr>
            <m:sty m:val="p"/>
          </m:rPr>
          <m:t>s</m:t>
        </m:r>
        <m:r>
          <m:rPr>
            <m:sty m:val="p"/>
          </m:rPr>
          <m:t>i</m:t>
        </m:r>
        <m:r>
          <m:rPr>
            <m:sty m:val="p"/>
          </m:rPr>
          <m:t>d</m:t>
        </m:r>
        <m:r>
          <m:rPr>
            <m:sty m:val="p"/>
          </m:rPr>
          <m:t>e</m:t>
        </m:r>
        <m:r>
          <m:rPr>
            <m:sty m:val="p"/>
          </m:rPr>
          <m:t>)</m:t>
        </m:r>
        <m:r>
          <m:rPr>
            <m:sty m:val="p"/>
          </m:rPr>
          <m:t>=</m:t>
        </m:r>
        <m:r>
          <m:t>0</m:t>
        </m:r>
      </m:oMath>
      <w:r>
        <w:t xml:space="preserve">, via the annuity-payment / present-value identity (§4).</w:t>
      </w:r>
    </w:p>
    <w:p>
      <w:pPr>
        <w:numPr>
          <w:ilvl w:val="0"/>
          <w:numId w:val="1001"/>
        </w:numPr>
      </w:pPr>
      <w:r>
        <w:rPr>
          <w:b/>
          <w:bCs/>
        </w:rPr>
        <w:t xml:space="preserve">Empirical validation under both Fixed Annuity and RMD distributions.</w:t>
      </w:r>
      <w:r>
        <w:t xml:space="preserve"> </w:t>
      </w:r>
      <w:r>
        <w:t xml:space="preserve">Paired Inside/Outside scenarios confirm the algebraic identity — the constant $1,695.86/year increment under FA (§5) and a per-year-varying but PV-canceling increment under RMD (§5B), closing the year-0 outflow to within 4 cents over a 30-year horizon.</w:t>
      </w:r>
    </w:p>
    <w:p>
      <w:pPr>
        <w:numPr>
          <w:ilvl w:val="0"/>
          <w:numId w:val="1001"/>
        </w:numPr>
      </w:pPr>
      <w:r>
        <w:rPr>
          <w:b/>
          <w:bCs/>
        </w:rPr>
        <w:t xml:space="preserve">Wrapper Migration Neutrality as a generalizing principle.</w:t>
      </w:r>
      <w:r>
        <w:t xml:space="preserve"> </w:t>
      </w:r>
      <w:r>
        <w:t xml:space="preserve">Pure wrapper migrations at constant household wealth impose no PV cost at the portfolio rate. The SRC is one instance of this principle (§3.5).</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 The two parameterizations are mathematically related: Vanguard’s</w:t>
      </w:r>
      <w:r>
        <w:t xml:space="preserve"> </w:t>
      </w:r>
      <m:oMath>
        <m:sSup>
          <m:e>
            <m:r>
              <m:t>M</m:t>
            </m:r>
          </m:e>
          <m:sup>
            <m:r>
              <m:rPr>
                <m:sty m:val="p"/>
              </m:rPr>
              <m:t>′</m:t>
            </m:r>
          </m:sup>
        </m:sSup>
        <m:r>
          <m:rPr>
            <m:sty m:val="p"/>
          </m:rPr>
          <m:t>/</m:t>
        </m:r>
        <m:r>
          <m:t>M</m:t>
        </m:r>
      </m:oMath>
      <w:r>
        <w:t xml:space="preserve"> </w:t>
      </w:r>
      <w:r>
        <w:t xml:space="preserve">horizon-cumulative wedge maps directly to the SRC’s per-year drag fraction</w:t>
      </w:r>
      <w:r>
        <w:t xml:space="preserve"> </w:t>
      </w:r>
      <m:oMath>
        <m:r>
          <m:t>d</m:t>
        </m:r>
      </m:oMath>
      <w:r>
        <w:t xml:space="preserve"> </w:t>
      </w:r>
      <w:r>
        <w:t xml:space="preserve">via</w:t>
      </w:r>
      <w:r>
        <w:t xml:space="preserve"> </w:t>
      </w:r>
      <m:oMath>
        <m:r>
          <m:t>d</m:t>
        </m:r>
        <m:r>
          <m:rPr>
            <m:sty m:val="p"/>
          </m:rPr>
          <m:t>=</m:t>
        </m:r>
        <m:r>
          <m:t>1</m:t>
        </m:r>
        <m:r>
          <m:rPr>
            <m:sty m:val="p"/>
          </m:rPr>
          <m:t>−</m:t>
        </m:r>
        <m:r>
          <m:rPr>
            <m:sty m:val="p"/>
          </m:rPr>
          <m:t>(</m:t>
        </m:r>
        <m:sSup>
          <m:e>
            <m:r>
              <m:t>M</m:t>
            </m:r>
          </m:e>
          <m:sup>
            <m:r>
              <m:rPr>
                <m:sty m:val="p"/>
              </m:rPr>
              <m:t>′</m:t>
            </m:r>
          </m:sup>
        </m:sSup>
        <m:sSup>
          <m:e>
            <m:r>
              <m:rPr>
                <m:sty m:val="p"/>
              </m:rPr>
              <m:t>)</m:t>
            </m:r>
          </m:e>
          <m:sup>
            <m:r>
              <m:t>1</m:t>
            </m:r>
            <m:r>
              <m:rPr>
                <m:sty m:val="p"/>
              </m:rPr>
              <m:t>/</m:t>
            </m:r>
            <m:r>
              <m:t>n</m:t>
            </m:r>
          </m:sup>
        </m:sSup>
        <m:r>
          <m:rPr>
            <m:sty m:val="p"/>
          </m:rPr>
          <m:t>/</m:t>
        </m:r>
        <m:sSup>
          <m:e>
            <m:r>
              <m:t>M</m:t>
            </m:r>
          </m:e>
          <m:sup>
            <m:r>
              <m:t>1</m:t>
            </m:r>
            <m:r>
              <m:rPr>
                <m:sty m:val="p"/>
              </m:rPr>
              <m:t>/</m:t>
            </m:r>
            <m:r>
              <m:t>n</m:t>
            </m:r>
          </m:sup>
        </m:sSup>
      </m:oMath>
      <w:r>
        <w:t xml:space="preserve"> </w:t>
      </w:r>
      <w:r>
        <w:t xml:space="preserve">(derived in §6). The per-year framing is also more actionable in practice: advisors can estimate</w:t>
      </w:r>
      <w:r>
        <w:t xml:space="preserve"> </w:t>
      </w:r>
      <m:oMath>
        <m:r>
          <m:t>d</m:t>
        </m:r>
      </m:oMath>
      <w:r>
        <w:t xml:space="preserve"> </w:t>
      </w:r>
      <w:r>
        <w:t xml:space="preserve">directly from a client’s outside-account tax profile — asset location, turnover, distribution yield, state of residence — and explain it as</w:t>
      </w:r>
      <w:r>
        <w:t xml:space="preserve"> </w:t>
      </w:r>
      <w:r>
        <w:t xml:space="preserve">“the share of annual return lost to taxation,”</w:t>
      </w:r>
      <w:r>
        <w:t xml:space="preserve"> </w:t>
      </w:r>
      <w:r>
        <w:t xml:space="preserve">a quantity observable on prior tax returns. The</w:t>
      </w:r>
      <w:r>
        <w:t xml:space="preserve"> </w:t>
      </w:r>
      <m:oMath>
        <m:sSup>
          <m:e>
            <m:r>
              <m:t>M</m:t>
            </m:r>
          </m:e>
          <m:sup>
            <m:r>
              <m:rPr>
                <m:sty m:val="p"/>
              </m:rPr>
              <m:t>′</m:t>
            </m:r>
          </m:sup>
        </m:sSup>
      </m:oMath>
      <w:r>
        <w:t xml:space="preserve"> </w:t>
      </w:r>
      <w:r>
        <w:t xml:space="preserve">parameter, by contrast, requires projecting a 20-year cumulative wealth differential against a hypothetical no-drag counterfactual — an opaque input the advisor must project and the client cannot verify.</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times converted principal, = (25% − 22%) × $100K — which McQuarrie’s NPV correctly identifies.</w:t>
      </w:r>
      <w:r>
        <w:t xml:space="preserve"> </w:t>
      </w:r>
      <w:r>
        <w:rPr>
          <w:i/>
          <w:iCs/>
        </w:rPr>
        <w:t xml:space="preserve">Second</w:t>
      </w:r>
      <w:r>
        <w:t xml:space="preserve">, the Outside/Inside wrapper composition difference: Outside places $100,000 in the Roth (conversion-tax dollars moved from Bank into Roth); Inside converts $78,000 to Roth (conversion-tax dollars stayed in the Bank, tax withheld from the Traditional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added economic value through the tax-drag-differential channel (§6) that McQuarrie’s same-rate framework eliminates by construction.</w:t>
      </w:r>
    </w:p>
    <w:p>
      <w:pPr>
        <w:pStyle w:val="BodyText"/>
      </w:pPr>
      <w:r>
        <w:t xml:space="preserve">The identity is derivable from McQuarrie’s own Table 1. His column 8 — tax-at-22% on each year’s RMD over the 27-year distribution horizon — discounted at the same 6% portfolio rate his paper uses for NPV, sums to ~$22,000, exactly the up-front conversion tax. This is the matched-rate PV identity of §4:</w:t>
      </w:r>
      <w:r>
        <w:t xml:space="preserve"> </w:t>
      </w:r>
      <m:oMath>
        <m:sSub>
          <m:e>
            <m:r>
              <m:rPr>
                <m:sty m:val="p"/>
              </m:rPr>
              <m:t>P</m:t>
            </m:r>
            <m:r>
              <m:rPr>
                <m:sty m:val="p"/>
              </m:rPr>
              <m:t>V</m:t>
            </m:r>
          </m:e>
          <m:sub>
            <m:r>
              <m:t>r</m:t>
            </m:r>
          </m:sub>
        </m:sSub>
      </m:oMath>
      <w:r>
        <w:t xml:space="preserve"> </w:t>
      </w:r>
      <w:r>
        <w:t xml:space="preserve">of the avoided-distribution-tax stream at the conversion rate equals</w:t>
      </w:r>
      <w:r>
        <w:t xml:space="preserve"> </w:t>
      </w:r>
      <m:oMath>
        <m:r>
          <m:t>K</m:t>
        </m:r>
      </m:oMath>
      <w:r>
        <w:t xml:space="preserve">. McQuarrie published the column but never discounted it separately — his framework computes Col 7 − Col 8 (the $3,000 rate-arbitrage Core) and treats the $22,000 as a one-sided cost, hiding the wrapper migration that his own data implicitly prove is PV-zero.</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2"/>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2"/>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3"/>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3"/>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3"/>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When a household’s personal discount rate</w:t>
      </w:r>
      <w:r>
        <w:t xml:space="preserve"> </w:t>
      </w:r>
      <m:oMath>
        <m:r>
          <m:t>ρ</m:t>
        </m:r>
      </m:oMath>
      <w:r>
        <w:t xml:space="preserve"> </w:t>
      </w:r>
      <w:r>
        <w:t xml:space="preserve">diverges from the portfolio rate</w:t>
      </w:r>
      <w:r>
        <w:t xml:space="preserve"> </w:t>
      </w:r>
      <m:oMath>
        <m:r>
          <m:t>r</m:t>
        </m:r>
      </m:oMath>
      <w:r>
        <w:t xml:space="preserve">, the identity breaks:</w:t>
      </w:r>
      <w:r>
        <w:t xml:space="preserve"> </w:t>
      </w:r>
      <m:oMath>
        <m:r>
          <m:t>ρ</m:t>
        </m:r>
        <m:r>
          <m:rPr>
            <m:sty m:val="p"/>
          </m:rPr>
          <m:t>&gt;</m:t>
        </m:r>
        <m:r>
          <m:t>r</m:t>
        </m:r>
      </m:oMath>
      <w:r>
        <w:t xml:space="preserve"> </w:t>
      </w:r>
      <w:r>
        <w:t xml:space="preserve">produces negative SRC PV,</w:t>
      </w:r>
      <w:r>
        <w:t xml:space="preserve"> </w:t>
      </w:r>
      <m:oMath>
        <m:r>
          <m:t>ρ</m:t>
        </m:r>
        <m:r>
          <m:rPr>
            <m:sty m:val="p"/>
          </m:rPr>
          <m:t>&lt;</m:t>
        </m:r>
        <m:r>
          <m:t>r</m:t>
        </m:r>
      </m:oMath>
      <w:r>
        <w:t xml:space="preserve"> </w:t>
      </w:r>
      <w:r>
        <w:t xml:space="preserve">positive — but in practice most risk-averse retirees have</w:t>
      </w:r>
      <w:r>
        <w:t xml:space="preserve"> </w:t>
      </w:r>
      <m:oMath>
        <m:r>
          <m:t>ρ</m:t>
        </m:r>
        <m:r>
          <m:rPr>
            <m:sty m:val="p"/>
          </m:rPr>
          <m:t>≤</m:t>
        </m:r>
        <m:r>
          <m:t>r</m:t>
        </m:r>
      </m:oMath>
      <w:r>
        <w:t xml:space="preserve">, keeping the SRC neutral-to-favorable in PV terms.</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Medicare-surcharge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1"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4"/>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4"/>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The same</w:t>
      </w:r>
      <w:r>
        <w:t xml:space="preserve"> </w:t>
      </w:r>
      <m:oMath>
        <m:r>
          <m:t>K</m:t>
        </m:r>
      </m:oMath>
      <w:r>
        <w:t xml:space="preserve"> </w:t>
      </w:r>
      <w:r>
        <w:t xml:space="preserve">= $17,966 distributed via FA over 20 years would yield a lifetime nominal payout of $17,966 × 1.88786 = $33,917.27. RMD’s multiplier exceeds FA’s by ~2.1× because RMD distributes over 30 years instead of 20, giving</w:t>
      </w:r>
      <w:r>
        <w:t xml:space="preserve"> </w:t>
      </w:r>
      <m:oMath>
        <m:r>
          <m:t>K</m:t>
        </m:r>
      </m:oMath>
      <w:r>
        <w:t xml:space="preserve"> </w:t>
      </w:r>
      <w:r>
        <w:t xml:space="preserve">more years of tax-free compounding before full distribution. Both methods produce the same PV at the portfolio rate (zero, by §4’s identity); only nominal cash flow differs.</w:t>
      </w:r>
    </w:p>
    <w:p>
      <w:r>
        <w:pict>
          <v:rect style="width:0;height:1.5pt" o:hralign="center" o:hrstd="t" o:hr="t"/>
        </w:pict>
      </w:r>
    </w:p>
    <w:bookmarkEnd w:id="30"/>
    <w:bookmarkEnd w:id="31"/>
    <w:bookmarkStart w:id="32" w:name="the-src-alpha-tax-drag-avoidance"/>
    <w:p>
      <w:pPr>
        <w:pStyle w:val="Heading2"/>
      </w:pPr>
      <w:r>
        <w:t xml:space="preserve">6. The SRC Alpha: Tax-Drag Avoidance</w:t>
      </w:r>
    </w:p>
    <w:p>
      <w:pPr>
        <w:pStyle w:val="FirstParagraph"/>
      </w:pPr>
      <w:r>
        <w:t xml:space="preserve">Section 4 proved that the SRC present value is zero when the discount rate equals the portfolio rate. This makes the SRC appear neutral. It is not. The SRC has real economic value through the tax-drag-differential channel that escapes a pure PV-at-portfolio-rate framing.</w:t>
      </w:r>
    </w:p>
    <w:p>
      <w:pPr>
        <w:pStyle w:val="BodyText"/>
      </w:pPr>
      <w:r>
        <w:t xml:space="preserve">Every dollar in the Roth wrapper compounds at</w:t>
      </w:r>
      <w:r>
        <w:t xml:space="preserve"> </w:t>
      </w:r>
      <m:oMath>
        <m:r>
          <m:t>r</m:t>
        </m:r>
      </m:oMath>
      <w:r>
        <w:t xml:space="preserve">. In a taxable brokerage wrapper that dollar pays tax on dividends, interest, realized capital gains, and turnover-driven distributions every year, compounding at an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where</w:t>
      </w:r>
      <w:r>
        <w:t xml:space="preserve"> </w:t>
      </w:r>
      <m:oMath>
        <m:r>
          <m:t>d</m:t>
        </m:r>
      </m:oMath>
      <w:r>
        <w:t xml:space="preserve"> </w:t>
      </w:r>
      <w:r>
        <w:t xml:space="preserve">represents the annual percent of return lost to taxation. This paper uses</w:t>
      </w:r>
      <w:r>
        <w:t xml:space="preserve"> </w:t>
      </w:r>
      <m:oMath>
        <m:r>
          <m:t>d</m:t>
        </m:r>
        <m:r>
          <m:rPr>
            <m:sty m:val="p"/>
          </m:rPr>
          <m:t>=</m:t>
        </m:r>
        <m:r>
          <m:t>5</m:t>
        </m:r>
        <m:r>
          <m:rPr>
            <m:sty m:val="p"/>
          </m:rPr>
          <m:t>%</m:t>
        </m:r>
      </m:oMath>
      <w:r>
        <w:t xml:space="preserve"> </w:t>
      </w:r>
      <w:r>
        <w:t xml:space="preserve">— i.e., a 7.0% tax-free return becomes an after-drag 6.65%. This 35 basis point annual differential compounds non-trivially over a multi-decade retirement horizon.</w:t>
      </w:r>
    </w:p>
    <w:p>
      <w:pPr>
        <w:pStyle w:val="BodyText"/>
      </w:pPr>
      <w:r>
        <w:t xml:space="preserve">Under Outside payment,</w:t>
      </w:r>
      <w:r>
        <w:t xml:space="preserve"> </w:t>
      </w:r>
      <m:oMath>
        <m:r>
          <m:t>K</m:t>
        </m:r>
      </m:oMath>
      <w:r>
        <w:t xml:space="preserve"> </w:t>
      </w:r>
      <w:r>
        <w:t xml:space="preserve">dollars move from the taxable into the Roth wrapper and compound at</w:t>
      </w:r>
      <w:r>
        <w:t xml:space="preserve"> </w:t>
      </w:r>
      <m:oMath>
        <m:r>
          <m:t>r</m:t>
        </m:r>
      </m:oMath>
      <w:r>
        <w:t xml:space="preserve"> </w:t>
      </w:r>
      <w:r>
        <w:t xml:space="preserve">instead of</w:t>
      </w:r>
      <w:r>
        <w:t xml:space="preserve"> </w:t>
      </w:r>
      <m:oMath>
        <m:sSub>
          <m:e>
            <m:r>
              <m:t>r</m:t>
            </m:r>
          </m:e>
          <m:sub>
            <m:r>
              <m:t>d</m:t>
            </m:r>
          </m:sub>
        </m:sSub>
      </m:oMath>
      <w:r>
        <w:t xml:space="preserve">. This drag-avoidance benefit is the lifetime PV/FV differential of the SRC compounding at</w:t>
      </w:r>
      <w:r>
        <w:t xml:space="preserve"> </w:t>
      </w:r>
      <m:oMath>
        <m:r>
          <m:t>r</m:t>
        </m:r>
      </m:oMath>
      <w:r>
        <w:t xml:space="preserve"> </w:t>
      </w:r>
      <w:r>
        <w:t xml:space="preserve">vs. the taxable counterfactual compounding at</w:t>
      </w:r>
      <w:r>
        <w:t xml:space="preserve"> </w:t>
      </w:r>
      <m:oMath>
        <m:sSub>
          <m:e>
            <m:r>
              <m:t>r</m:t>
            </m:r>
          </m:e>
          <m:sub>
            <m:r>
              <m:t>d</m:t>
            </m:r>
          </m:sub>
        </m:sSub>
      </m:oMath>
      <w:r>
        <w:t xml:space="preserve">. This alpha component exists only under Outside payment — Inside payment retains</w:t>
      </w:r>
      <w:r>
        <w:t xml:space="preserve"> </w:t>
      </w:r>
      <m:oMath>
        <m:r>
          <m:t>K</m:t>
        </m:r>
      </m:oMath>
      <w:r>
        <w:t xml:space="preserve"> </w:t>
      </w:r>
      <w:r>
        <w:t xml:space="preserve">dollars in the taxable wrapper.</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RMD values exceed the FA-scenario values on both metrics. RMD’s 30-year horizon (20 owner + 10 beneficiary) keeps SRC dollars compounding in the Roth wrapper longer than FA’s 20 years, producing a larger cumulative drag-avoidance differential. The FV ratio (~5.5×) exceeds the PV ratio (~2.1×) because beneficiary-period drag-avoidance accruals are heavily discounted back to today.</w:t>
      </w:r>
    </w:p>
    <w:p>
      <w:pPr>
        <w:pStyle w:val="BodyText"/>
      </w:pPr>
      <w:r>
        <w:t xml:space="preserve">Unlike the SRC’s PV-zero identity at the portfolio rate, this drag-avoidance alpha is quantifiable, accrues only under Outside funding, and belongs in the alpha sum when evaluating an Outside-funded conversion (§7).</w:t>
      </w:r>
    </w:p>
    <w:p>
      <w:pPr>
        <w:pStyle w:val="BodyText"/>
      </w:pPr>
      <w:r>
        <w:rPr>
          <w:b/>
          <w:bCs/>
        </w:rPr>
        <w:t xml:space="preserve">Mapping to Vanguard’s BETR.</w:t>
      </w:r>
      <w:r>
        <w:t xml:space="preserve"> </w:t>
      </w:r>
      <w:r>
        <w:t xml:space="preserve">Passman, Wong &amp; Dickson (2025) parameterize the same wrapper-drag wedge via a 20-year cumulative outside-account multiple</w:t>
      </w:r>
      <w:r>
        <w:t xml:space="preserve"> </w:t>
      </w:r>
      <m:oMath>
        <m:sSup>
          <m:e>
            <m:r>
              <m:t>M</m:t>
            </m:r>
          </m:e>
          <m:sup>
            <m:r>
              <m:rPr>
                <m:sty m:val="p"/>
              </m:rPr>
              <m:t>′</m:t>
            </m:r>
          </m:sup>
        </m:sSup>
      </m:oMath>
      <w:r>
        <w:t xml:space="preserve"> </w:t>
      </w:r>
      <w:r>
        <w:t xml:space="preserve">relative to the Roth multiple</w:t>
      </w:r>
      <w:r>
        <w:t xml:space="preserve"> </w:t>
      </w:r>
      <m:oMath>
        <m:r>
          <m:t>M</m:t>
        </m:r>
      </m:oMath>
      <w:r>
        <w:t xml:space="preserve">. The relationship to the SRC drag fraction is direct:</w:t>
      </w:r>
    </w:p>
    <w:p>
      <w:pPr>
        <w:pStyle w:val="BodyText"/>
      </w:pPr>
      <m:oMathPara>
        <m:oMathParaPr>
          <m:jc m:val="center"/>
        </m:oMathParaPr>
        <m:oMath>
          <m:r>
            <m:t>d</m:t>
          </m:r>
          <m:r>
            <m:rPr>
              <m:sty m:val="p"/>
            </m:rPr>
            <m:t>=</m:t>
          </m:r>
          <m:r>
            <m:t>1</m:t>
          </m:r>
          <m:r>
            <m:rPr>
              <m:sty m:val="p"/>
            </m:rPr>
            <m:t>−</m:t>
          </m:r>
          <m:f>
            <m:fPr>
              <m:type m:val="bar"/>
            </m:fPr>
            <m:num>
              <m:r>
                <m:rPr>
                  <m:sty m:val="p"/>
                </m:rPr>
                <m:t>(</m:t>
              </m:r>
              <m:sSup>
                <m:e>
                  <m:r>
                    <m:t>M</m:t>
                  </m:r>
                </m:e>
                <m:sup>
                  <m:r>
                    <m:rPr>
                      <m:sty m:val="p"/>
                    </m:rPr>
                    <m:t>′</m:t>
                  </m:r>
                </m:sup>
              </m:sSup>
              <m:sSup>
                <m:e>
                  <m:r>
                    <m:rPr>
                      <m:sty m:val="p"/>
                    </m:rPr>
                    <m:t>)</m:t>
                  </m:r>
                </m:e>
                <m:sup>
                  <m:r>
                    <m:t>1</m:t>
                  </m:r>
                  <m:r>
                    <m:rPr>
                      <m:sty m:val="p"/>
                    </m:rPr>
                    <m:t>/</m:t>
                  </m:r>
                  <m:r>
                    <m:t>n</m:t>
                  </m:r>
                </m:sup>
              </m:sSup>
            </m:num>
            <m:den>
              <m:sSup>
                <m:e>
                  <m:r>
                    <m:t>M</m:t>
                  </m:r>
                </m:e>
                <m:sup>
                  <m:r>
                    <m:t>1</m:t>
                  </m:r>
                  <m:r>
                    <m:rPr>
                      <m:sty m:val="p"/>
                    </m:rPr>
                    <m:t>/</m:t>
                  </m:r>
                  <m:r>
                    <m:t>n</m:t>
                  </m:r>
                </m:sup>
              </m:sSup>
            </m:den>
          </m:f>
        </m:oMath>
      </m:oMathPara>
    </w:p>
    <w:p>
      <w:pPr>
        <w:pStyle w:val="FirstParagraph"/>
      </w:pPr>
      <w:r>
        <w:t xml:space="preserve">For Vanguard’s standard</w:t>
      </w:r>
      <w:r>
        <w:t xml:space="preserve"> </w:t>
      </w:r>
      <m:oMath>
        <m:r>
          <m:t>M</m:t>
        </m:r>
        <m:r>
          <m:rPr>
            <m:sty m:val="p"/>
          </m:rPr>
          <m:t>=</m:t>
        </m:r>
        <m:r>
          <m:t>3</m:t>
        </m:r>
      </m:oMath>
      <w:r>
        <w:t xml:space="preserve">,</w:t>
      </w:r>
      <w:r>
        <w:t xml:space="preserve"> </w:t>
      </w:r>
      <m:oMath>
        <m:sSup>
          <m:e>
            <m:r>
              <m:t>M</m:t>
            </m:r>
          </m:e>
          <m:sup>
            <m:r>
              <m:rPr>
                <m:sty m:val="p"/>
              </m:rPr>
              <m:t>′</m:t>
            </m:r>
          </m:sup>
        </m:sSup>
        <m:r>
          <m:rPr>
            <m:sty m:val="p"/>
          </m:rPr>
          <m:t>=</m:t>
        </m:r>
        <m:r>
          <m:t>2</m:t>
        </m:r>
      </m:oMath>
      <w:r>
        <w:t xml:space="preserve">,</w:t>
      </w:r>
      <w:r>
        <w:t xml:space="preserve"> </w:t>
      </w:r>
      <m:oMath>
        <m:r>
          <m:t>n</m:t>
        </m:r>
        <m:r>
          <m:rPr>
            <m:sty m:val="p"/>
          </m:rPr>
          <m:t>=</m:t>
        </m:r>
        <m:r>
          <m:t>20</m:t>
        </m:r>
      </m:oMath>
      <w:r>
        <w:t xml:space="preserve">:</w:t>
      </w:r>
      <w:r>
        <w:t xml:space="preserve"> </w:t>
      </w:r>
      <m:oMath>
        <m:r>
          <m:t>d</m:t>
        </m:r>
        <m:r>
          <m:rPr>
            <m:sty m:val="p"/>
          </m:rPr>
          <m:t>=</m:t>
        </m:r>
        <m:r>
          <m:t>37.5</m:t>
        </m:r>
        <m:r>
          <m:rPr>
            <m:sty m:val="p"/>
          </m:rPr>
          <m:t>%</m:t>
        </m:r>
      </m:oMath>
      <w:r>
        <w:t xml:space="preserve"> </w:t>
      </w:r>
      <w:r>
        <w:t xml:space="preserve">— implicitly assuming a substantially more tax-inefficient outside account than this paper’s</w:t>
      </w:r>
      <w:r>
        <w:t xml:space="preserve"> </w:t>
      </w:r>
      <m:oMath>
        <m:r>
          <m:t>d</m:t>
        </m:r>
        <m:r>
          <m:rPr>
            <m:sty m:val="p"/>
          </m:rPr>
          <m:t>=</m:t>
        </m:r>
        <m:r>
          <m:t>5</m:t>
        </m:r>
        <m:r>
          <m:rPr>
            <m:sty m:val="p"/>
          </m:rPr>
          <m:t>%</m:t>
        </m:r>
      </m:oMath>
      <w:r>
        <w:t xml:space="preserve"> </w:t>
      </w:r>
      <w:r>
        <w:t xml:space="preserve">baseline (which corresponds to</w:t>
      </w:r>
      <w:r>
        <w:t xml:space="preserve"> </w:t>
      </w:r>
      <m:oMath>
        <m:sSup>
          <m:e>
            <m:r>
              <m:t>M</m:t>
            </m:r>
          </m:e>
          <m:sup>
            <m:r>
              <m:rPr>
                <m:sty m:val="p"/>
              </m:rPr>
              <m:t>′</m:t>
            </m:r>
          </m:sup>
        </m:sSup>
        <m:r>
          <m:rPr>
            <m:sty m:val="p"/>
          </m:rPr>
          <m:t>≈</m:t>
        </m:r>
        <m:r>
          <m:t>2.74</m:t>
        </m:r>
      </m:oMath>
      <w:r>
        <w:t xml:space="preserve"> </w:t>
      </w:r>
      <w:r>
        <w:t xml:space="preserve">against</w:t>
      </w:r>
      <w:r>
        <w:t xml:space="preserve"> </w:t>
      </w:r>
      <m:oMath>
        <m:r>
          <m:t>M</m:t>
        </m:r>
        <m:r>
          <m:rPr>
            <m:sty m:val="p"/>
          </m:rPr>
          <m:t>=</m:t>
        </m:r>
        <m:r>
          <m:t>3</m:t>
        </m:r>
      </m:oMath>
      <w:r>
        <w:t xml:space="preserve">). Vanguard’s BETR and the SRC’s drag-avoidance alpha are reparameterizations of the same underlying wrapper-drag wedge; the SRC per-year framework generalizes BETR’s horizon-cumulative formulation.</w:t>
      </w:r>
    </w:p>
    <w:p>
      <w:r>
        <w:pict>
          <v:rect style="width:0;height:1.5pt" o:hralign="center" o:hrstd="t" o:hr="t"/>
        </w:pict>
      </w:r>
    </w:p>
    <w:bookmarkEnd w:id="32"/>
    <w:bookmarkStart w:id="33" w:name="Xbc384f24a5ce11d636f22e8d1847e97eddfe496"/>
    <w:p>
      <w:pPr>
        <w:pStyle w:val="Heading2"/>
      </w:pPr>
      <w:r>
        <w:t xml:space="preserve">7. Implications: Convert? Then Fund Inside or Outside?</w:t>
      </w:r>
    </w:p>
    <w:p>
      <w:pPr>
        <w:pStyle w:val="FirstParagraph"/>
      </w:pPr>
      <w:r>
        <w:rPr>
          <w:i/>
          <w:iCs/>
        </w:rPr>
        <w:t xml:space="preserve">Under age 59½:</w:t>
      </w:r>
      <w:r>
        <w:t xml:space="preserve"> </w:t>
      </w:r>
      <w:r>
        <w:t xml:space="preserve">Outside funding is effectively required. Inside funding requires a pre-tax distribution to cover the conversion tax, subject to the 10% early-withdrawal penalty. Conversion and SRC are bundled — choosing to convert necessarily activates the SRC.</w:t>
      </w:r>
    </w:p>
    <w:p>
      <w:pPr>
        <w:pStyle w:val="BodyText"/>
      </w:pPr>
      <w:r>
        <w:rPr>
          <w:i/>
          <w:iCs/>
        </w:rPr>
        <w:t xml:space="preserve">At age 59½+:</w:t>
      </w:r>
      <w:r>
        <w:t xml:space="preserve"> </w:t>
      </w:r>
      <w:r>
        <w:t xml:space="preserve">both funding paths are available, and the household’s decision separates into two:</w:t>
      </w:r>
    </w:p>
    <w:p>
      <w:pPr>
        <w:numPr>
          <w:ilvl w:val="0"/>
          <w:numId w:val="1006"/>
        </w:numPr>
      </w:pPr>
      <w:r>
        <w:rPr>
          <w:b/>
          <w:bCs/>
        </w:rPr>
        <w:t xml:space="preserve">Conversion (yes/no, how much):</w:t>
      </w:r>
      <w:r>
        <w:t xml:space="preserve"> </w:t>
      </w:r>
      <w:r>
        <w:t xml:space="preserve">driven by the sum of PV alpha components that don’t depend on funding source — the rate-arbitrage Core (spread on converted principal), the Medicare-surcharge-reduction alpha (not decomposed here), and the RMD tax-drag alpha (drag avoided on reinvested RMDs the conversion eliminates). Each follows from the conversion event itself, not from how the tax is paid. Convert if the sum is PV-positive.</w:t>
      </w:r>
    </w:p>
    <w:p>
      <w:pPr>
        <w:numPr>
          <w:ilvl w:val="0"/>
          <w:numId w:val="1006"/>
        </w:numPr>
      </w:pPr>
      <w:r>
        <w:rPr>
          <w:b/>
          <w:bCs/>
        </w:rPr>
        <w:t xml:space="preserve">Funding (Inside vs Outside), conditional on conversion:</w:t>
      </w:r>
      <w:r>
        <w:t xml:space="preserve"> </w:t>
      </w:r>
      <w:r>
        <w:t xml:space="preserve">Outside relocates</w:t>
      </w:r>
      <w:r>
        <w:t xml:space="preserve"> </w:t>
      </w:r>
      <m:oMath>
        <m:r>
          <m:t>K</m:t>
        </m:r>
      </m:oMath>
      <w:r>
        <w:t xml:space="preserve"> </w:t>
      </w:r>
      <w:r>
        <w:t xml:space="preserve">from a taxable wrapper compounding at</w:t>
      </w:r>
      <w:r>
        <w:t xml:space="preserve"> </w:t>
      </w:r>
      <m:oMath>
        <m:sSub>
          <m:e>
            <m:r>
              <m:t>r</m:t>
            </m:r>
          </m:e>
          <m:sub>
            <m:r>
              <m:t>d</m:t>
            </m:r>
          </m:sub>
        </m:sSub>
      </m:oMath>
      <w:r>
        <w:t xml:space="preserve"> </w:t>
      </w:r>
      <w:r>
        <w:t xml:space="preserve">to a tax-free wrapper compounding at</w:t>
      </w:r>
      <w:r>
        <w:t xml:space="preserve"> </w:t>
      </w:r>
      <m:oMath>
        <m:r>
          <m:t>r</m:t>
        </m:r>
      </m:oMath>
      <w:r>
        <w:t xml:space="preserve"> </w:t>
      </w:r>
      <w:r>
        <w:t xml:space="preserve">— turning the conversion tax from a cost into an investment. The payoff is the tax-drag-avoidance alpha of §6 ($1,021 PV in the Outside RMD scenario), added to the conversion alpha sum to give total Outside-conversion alpha.</w:t>
      </w:r>
    </w:p>
    <w:p>
      <w:pPr>
        <w:pStyle w:val="FirstParagraph"/>
      </w:pPr>
      <w:r>
        <w:t xml:space="preserve">The SRC materializes only as a side effect of choosing Outside funding for an already-decided conversion.</w:t>
      </w:r>
    </w:p>
    <w:p>
      <w:r>
        <w:pict>
          <v:rect style="width:0;height:1.5pt" o:hralign="center" o:hrstd="t" o:hr="t"/>
        </w:pict>
      </w:r>
    </w:p>
    <w:bookmarkEnd w:id="33"/>
    <w:bookmarkStart w:id="34"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Medicare-surcharge savings, and reduced-RMD tax-drag.</w:t>
      </w:r>
    </w:p>
    <w:p>
      <w:pPr>
        <w:pStyle w:val="FirstParagraph"/>
      </w:pPr>
      <w:r>
        <w:t xml:space="preserve">The SRC’s lasting value emerges not from PV at the portfolio rate (which is zero) but from the tax-drag differential between Roth and taxable wrappers — the channel that compounds the SRC’s</w:t>
      </w:r>
      <w:r>
        <w:t xml:space="preserve"> </w:t>
      </w:r>
      <m:oMath>
        <m:r>
          <m:t>K</m:t>
        </m:r>
      </m:oMath>
      <w:r>
        <w:t xml:space="preserve"> </w:t>
      </w:r>
      <w:r>
        <w:t xml:space="preserve">dollars at</w:t>
      </w:r>
      <w:r>
        <w:t xml:space="preserve"> </w:t>
      </w:r>
      <m:oMath>
        <m:r>
          <m:t>r</m:t>
        </m:r>
      </m:oMath>
      <w:r>
        <w:t xml:space="preserve"> </w:t>
      </w:r>
      <w:r>
        <w:t xml:space="preserve">instead of</w:t>
      </w:r>
      <w:r>
        <w:t xml:space="preserve"> </w:t>
      </w:r>
      <m:oMath>
        <m:sSub>
          <m:e>
            <m:r>
              <m:t>r</m:t>
            </m:r>
          </m:e>
          <m:sub>
            <m:r>
              <m:t>d</m:t>
            </m:r>
          </m:sub>
        </m:sSub>
      </m:oMath>
      <w:r>
        <w:t xml:space="preserve"> </w:t>
      </w:r>
      <w:r>
        <w:t xml:space="preserve">over the post-conversion horizon.</w:t>
      </w:r>
      <w:r>
        <w:t xml:space="preserve"> </w:t>
      </w:r>
      <w:r>
        <w:rPr>
          <w:b/>
          <w:bCs/>
        </w:rPr>
        <w:t xml:space="preserve">Including the SRC turns Roth conversion analysis from a tax-rate-spread question into a wrapper-allocation question.</w:t>
      </w:r>
    </w:p>
    <w:p>
      <w:pPr>
        <w:pStyle w:val="BodyText"/>
      </w:pPr>
      <w:r>
        <w:rPr>
          <w:b/>
          <w:bCs/>
        </w:rPr>
        <w:t xml:space="preserve">Implications for practice:</w:t>
      </w:r>
    </w:p>
    <w:p>
      <w:pPr>
        <w:numPr>
          <w:ilvl w:val="0"/>
          <w:numId w:val="1008"/>
        </w:numPr>
      </w:pPr>
      <w:r>
        <w:rPr>
          <w:b/>
          <w:bCs/>
        </w:rPr>
        <w:t xml:space="preserve">The SRC framework is the first separable decomposition.</w:t>
      </w:r>
      <w:r>
        <w:t xml:space="preserve"> </w:t>
      </w:r>
      <w:r>
        <w:t xml:space="preserve">A per-year PV / FV / IRR bucket for the funding-source effect —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 the portfolio rate — has not, to our knowledge, been published outside this framework. Reichenstein &amp; Meyer (2017), Vanguard BETR (2025), and Nalebuff/Haghani/White (2025) each capture related parts but do not state the identity.</w:t>
      </w:r>
    </w:p>
    <w:p>
      <w:pPr>
        <w:numPr>
          <w:ilvl w:val="0"/>
          <w:numId w:val="1008"/>
        </w:numPr>
      </w:pPr>
      <w:r>
        <w:rPr>
          <w:b/>
          <w:bCs/>
        </w:rPr>
        <w:t xml:space="preserve">The SRC is separable from the rate-arbitrage Core.</w:t>
      </w:r>
      <w:r>
        <w:t xml:space="preserve"> </w:t>
      </w:r>
      <w:r>
        <w:t xml:space="preserve">Calculators that pool them into a single</w:t>
      </w:r>
      <w:r>
        <w:t xml:space="preserve"> </w:t>
      </w:r>
      <w:r>
        <w:t xml:space="preserve">“conversion value”</w:t>
      </w:r>
      <w:r>
        <w:t xml:space="preserve"> </w:t>
      </w:r>
      <w:r>
        <w:t xml:space="preserve">miss the SRC’s distinct economic signal — especially when</w:t>
      </w:r>
      <w:r>
        <w:t xml:space="preserve"> </w:t>
      </w:r>
      <m:oMath>
        <m:sSub>
          <m:e>
            <m:r>
              <m:t>t</m:t>
            </m:r>
          </m:e>
          <m:sub>
            <m:r>
              <m:t>C</m:t>
            </m:r>
          </m:sub>
        </m:sSub>
        <m:r>
          <m:rPr>
            <m:sty m:val="p"/>
          </m:rPr>
          <m:t>&gt;</m:t>
        </m:r>
        <m:sSub>
          <m:e>
            <m:r>
              <m:t>t</m:t>
            </m:r>
          </m:e>
          <m:sub>
            <m:r>
              <m:t>D</m:t>
            </m:r>
          </m:sub>
        </m:sSub>
      </m:oMath>
      <w:r>
        <w:t xml:space="preserve">, where the rate-arbitrage Core is negative but the SRC’s tax-drag-avoidance alpha (under Outside funding) can still render the household total favorable.</w:t>
      </w:r>
    </w:p>
    <w:p>
      <w:pPr>
        <w:numPr>
          <w:ilvl w:val="0"/>
          <w:numId w:val="1008"/>
        </w:numPr>
      </w:pPr>
      <w:r>
        <w:rPr>
          <w:b/>
          <w:bCs/>
        </w:rPr>
        <w:t xml:space="preserve">The</w:t>
      </w:r>
      <w:r>
        <w:rPr>
          <w:b/>
          <w:bCs/>
        </w:rPr>
        <w:t xml:space="preserve"> </w:t>
      </w:r>
      <w:r>
        <w:rPr>
          <w:b/>
          <w:bCs/>
        </w:rPr>
        <w:t xml:space="preserve">“live past 97 to break even”</w:t>
      </w:r>
      <w:r>
        <w:rPr>
          <w:b/>
          <w:bCs/>
        </w:rPr>
        <w:t xml:space="preserve"> </w:t>
      </w:r>
      <w:r>
        <w:rPr>
          <w:b/>
          <w:bCs/>
        </w:rPr>
        <w:t xml:space="preserve">framing no longer holds under SRC accounting.</w:t>
      </w:r>
      <w:r>
        <w:t xml:space="preserve"> </w:t>
      </w:r>
      <w:r>
        <w:t xml:space="preserve">McQuarrie (2024)’s pessimism rests on running NPV entirely off the Traditional shadow balance — structurally omitting the post-conversion Roth balance and treating the conversion tax as a one-sided cost rather than a wrapper migration of the household’s own funds. There is no recoupment-age threshold: a conversion has no time-horizon break-even because there is no cost.</w:t>
      </w:r>
    </w:p>
    <w:p>
      <w:pPr>
        <w:numPr>
          <w:ilvl w:val="0"/>
          <w:numId w:val="1008"/>
        </w:numPr>
      </w:pPr>
      <w:r>
        <w:rPr>
          <w:b/>
          <w:bCs/>
        </w:rPr>
        <w:t xml:space="preserve">The conversion decision is PV of alpha components, not rules of thumb.</w:t>
      </w:r>
      <w:r>
        <w:t xml:space="preserve"> </w:t>
      </w:r>
      <w:r>
        <w:t xml:space="preserve">The</w:t>
      </w:r>
      <w:r>
        <w:t xml:space="preserve"> </w:t>
      </w:r>
      <w:r>
        <w:t xml:space="preserve">“convert only when future tax rates are higher”</w:t>
      </w:r>
      <w:r>
        <w:t xml:space="preserve"> </w:t>
      </w:r>
      <w:r>
        <w:t xml:space="preserve">rule captures the rate-arbitrage Core in isolation and ignores Medicare-surcharge-reduction and RMD tax-drag — both of which can flip the decision. Households deferring otherwise-favorable conversions on the basis of published recoupment-age advice are reacting to an incomplete accounting, not to the math.</w:t>
      </w:r>
    </w:p>
    <w:p>
      <w:r>
        <w:pict>
          <v:rect style="width:0;height:1.5pt" o:hralign="center" o:hrstd="t" o:hr="t"/>
        </w:pict>
      </w:r>
    </w:p>
    <w:bookmarkEnd w:id="34"/>
    <w:bookmarkStart w:id="35"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35"/>
    <w:bookmarkStart w:id="38" w:name="X1fb9906062232a1c9ed64da0711341d859c89e8"/>
    <w:p>
      <w:pPr>
        <w:pStyle w:val="Heading2"/>
      </w:pPr>
      <w:r>
        <w:t xml:space="preserve">Appendix A: Selected Values from All Four Scenarios</w:t>
      </w:r>
    </w:p>
    <w:bookmarkStart w:id="36"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Medicare-Surcharge Savings (FV)</w:t>
            </w:r>
          </w:p>
        </w:tc>
        <w:tc>
          <w:tcPr/>
          <w:p>
            <w:pPr>
              <w:pStyle w:val="Compact"/>
            </w:pPr>
            <w:r>
              <w:t xml:space="preserve">$7,680.36</w:t>
            </w:r>
          </w:p>
        </w:tc>
        <w:tc>
          <w:tcPr/>
          <w:p>
            <w:pPr>
              <w:pStyle w:val="Compact"/>
            </w:pPr>
            <w:r>
              <w:t xml:space="preserve">$7,680.36</w:t>
            </w:r>
          </w:p>
        </w:tc>
      </w:tr>
      <w:tr>
        <w:tc>
          <w:tcPr/>
          <w:p>
            <w:pPr>
              <w:pStyle w:val="Compact"/>
            </w:pPr>
            <w:r>
              <w:t xml:space="preserve">Medicare-Surcharge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36"/>
    <w:bookmarkStart w:id="37"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Medicare-Surcharge Savings (FV)</w:t>
            </w:r>
          </w:p>
        </w:tc>
        <w:tc>
          <w:tcPr/>
          <w:p>
            <w:pPr>
              <w:pStyle w:val="Compact"/>
            </w:pPr>
            <w:r>
              <w:t xml:space="preserve">$7,648.20</w:t>
            </w:r>
          </w:p>
        </w:tc>
        <w:tc>
          <w:tcPr/>
          <w:p>
            <w:pPr>
              <w:pStyle w:val="Compact"/>
            </w:pPr>
            <w:r>
              <w:t xml:space="preserve">$7,648.20</w:t>
            </w:r>
          </w:p>
        </w:tc>
      </w:tr>
      <w:tr>
        <w:tc>
          <w:tcPr/>
          <w:p>
            <w:pPr>
              <w:pStyle w:val="Compact"/>
            </w:pPr>
            <w:r>
              <w:t xml:space="preserve">Medicare-Surcharge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9"/>
        </w:numPr>
      </w:pPr>
      <w:r>
        <w:rPr>
          <w:b/>
          <w:bCs/>
        </w:rPr>
        <w:t xml:space="preserve">Synthetic Roth Contribution (FV).</w:t>
      </w:r>
      <w:r>
        <w:t xml:space="preserve"> </w:t>
      </w:r>
      <w:r>
        <w:t xml:space="preserve">Outside FA = $33,917.27 =</w:t>
      </w:r>
      <w:r>
        <w:t xml:space="preserve"> </w:t>
      </w:r>
      <m:oMath>
        <m:r>
          <m:t>K</m:t>
        </m:r>
        <m:r>
          <m:rPr>
            <m:sty m:val="p"/>
          </m:rPr>
          <m:t>×</m:t>
        </m:r>
      </m:oMath>
      <w:r>
        <w:t xml:space="preserve"> </w:t>
      </w:r>
      <w:r>
        <w:t xml:space="preserve">1.88786; Outside RMD = $71,229.59 ≈ nominal 30-year (Outside − Inside) ATCF delta of $71,229.46. RMD’s larger nominal SRC reflects the longer compounding horizon — RMD’s 10-year beneficiary window extends the SRC compound period beyond FA’s owner-only 20 years. PV at 7% is identical across methods ($17,966 =</w:t>
      </w:r>
      <w:r>
        <w:t xml:space="preserve"> </w:t>
      </w:r>
      <m:oMath>
        <m:r>
          <m:t>K</m:t>
        </m:r>
      </m:oMath>
      <w:r>
        <w:t xml:space="preserve">), as the §4 identity requires.</w:t>
      </w:r>
    </w:p>
    <w:p>
      <w:pPr>
        <w:pStyle w:val="Compact"/>
        <w:numPr>
          <w:ilvl w:val="0"/>
          <w:numId w:val="1009"/>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lifetime distributions into higher brackets.</w:t>
      </w:r>
    </w:p>
    <w:p>
      <w:pPr>
        <w:pStyle w:val="Compact"/>
        <w:numPr>
          <w:ilvl w:val="0"/>
          <w:numId w:val="1009"/>
        </w:numPr>
      </w:pPr>
      <w:r>
        <w:rPr>
          <w:b/>
          <w:bCs/>
        </w:rPr>
        <w:t xml:space="preserve">SRC Tax-Drag</w:t>
      </w:r>
      <w:r>
        <w:t xml:space="preserve"> </w:t>
      </w:r>
      <w:r>
        <w:t xml:space="preserve">is non-zero only under Outside payment — it captures the value of</w:t>
      </w:r>
      <w:r>
        <w:t xml:space="preserve"> </w:t>
      </w:r>
      <m:oMath>
        <m:r>
          <m:t>K</m:t>
        </m:r>
      </m:oMath>
      <w:r>
        <w:t xml:space="preserve"> </w:t>
      </w:r>
      <w:r>
        <w:t xml:space="preserve">dollars escaping taxable-account drag.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1–5% absolute drag this term scales materially.</w:t>
      </w:r>
    </w:p>
    <w:p>
      <w:pPr>
        <w:pStyle w:val="Compact"/>
        <w:numPr>
          <w:ilvl w:val="0"/>
          <w:numId w:val="1009"/>
        </w:numPr>
      </w:pPr>
      <w:r>
        <w:rPr>
          <w:b/>
          <w:bCs/>
        </w:rPr>
        <w:t xml:space="preserve">Tax-Rate Spread, Medicare-Surcharge Savings, and RMD Tax-Drag are identical between Inside and Outside</w:t>
      </w:r>
      <w:r>
        <w:t xml:space="preserve"> </w:t>
      </w:r>
      <w:r>
        <w:t xml:space="preserve">within each distribution method — confirming these components are funding-source-independent, as the SRC framework predicts.</w:t>
      </w:r>
    </w:p>
    <w:p>
      <w:pPr>
        <w:pStyle w:val="Compact"/>
        <w:numPr>
          <w:ilvl w:val="0"/>
          <w:numId w:val="1009"/>
        </w:numPr>
      </w:pPr>
      <w:r>
        <w:rPr>
          <w:b/>
          <w:bCs/>
        </w:rPr>
        <w:t xml:space="preserve">Total ATCF Change (FV) differs between scenarios</w:t>
      </w:r>
      <w:r>
        <w:t xml:space="preserve"> </w:t>
      </w:r>
      <w:r>
        <w:t xml:space="preserve">because Outside’s distribution stream includes the year-by-year SRC increment. Under FA: Outside FV ≈ Inside FV + (</w:t>
      </w:r>
      <m:oMath>
        <m:r>
          <m:t>K</m:t>
        </m:r>
        <m:r>
          <m:rPr>
            <m:sty m:val="p"/>
          </m:rPr>
          <m:t>×</m:t>
        </m:r>
      </m:oMath>
      <w:r>
        <w:t xml:space="preserve"> </w:t>
      </w:r>
      <w:r>
        <w:t xml:space="preserve">annuity-factor multiple) = $31,937 + $33,917 = $65,854.</w:t>
      </w:r>
    </w:p>
    <w:p>
      <w:pPr>
        <w:pStyle w:val="Compact"/>
        <w:numPr>
          <w:ilvl w:val="0"/>
          <w:numId w:val="1009"/>
        </w:numPr>
      </w:pPr>
      <w:r>
        <w:rPr>
          <w:b/>
          <w:bCs/>
        </w:rPr>
        <w:t xml:space="preserve">Full-Cash-Flow IRR</w:t>
      </w:r>
      <w:r>
        <w:t xml:space="preserve"> </w:t>
      </w:r>
      <w:r>
        <w:t xml:space="preserve">is undefined under Inside payment (no outside outlay; cash-flow stream is purely positive). Under Outside it is meaningful: the Outside IRR exceeds the portfolio rate by the combined spread + Medicare-surcharge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2026-05-15. Empirical results produced by the RothGPT calculation engine.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2026-05-15T17:02:43Z</dcterms:created>
  <dcterms:modified xsi:type="dcterms:W3CDTF">2026-05-15T17:02:43Z</dcterms:modified>
</cp:coreProperties>
</file>

<file path=docProps/custom.xml><?xml version="1.0" encoding="utf-8"?>
<Properties xmlns="http://schemas.openxmlformats.org/officeDocument/2006/custom-properties" xmlns:vt="http://schemas.openxmlformats.org/officeDocument/2006/docPropsVTypes"/>
</file>