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 full</w:t>
      </w:r>
      <w:r>
        <w:t xml:space="preserve"> </w:t>
      </w:r>
      <m:oMath>
        <m:r>
          <m:t>C</m:t>
        </m:r>
      </m:oMath>
      <w:r>
        <w:t xml:space="preserve">.</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(an additional pre-tax distribution in the conversion year). The Roth receives</w:t>
      </w:r>
      <w:r>
        <w:t xml:space="preserve"> </w:t>
      </w:r>
      <m:oMath>
        <m:r>
          <m:t>C</m:t>
        </m:r>
        <m:r>
          <m:rPr>
            <m:sty m:val="p"/>
          </m:rPr>
          <m:t>−</m:t>
        </m:r>
        <m:r>
          <m:t>K</m:t>
        </m:r>
      </m:oMath>
      <w:r>
        <w:t xml:space="preserve">. No taxable-account dollars are spent.</w:t>
      </w:r>
    </w:p>
    <w:p>
      <w:pPr>
        <w:pStyle w:val="FirstParagraph"/>
      </w:pPr>
      <w:r>
        <w:t xml:space="preserve">The Traditional balance is reduced equally in both scenarios by</w:t>
      </w:r>
      <w:r>
        <w:t xml:space="preserve"> </w:t>
      </w:r>
      <m:oMath>
        <m:r>
          <m:t>C</m:t>
        </m:r>
      </m:oMath>
      <w:r>
        <w:t xml:space="preserve">, with an additional</w:t>
      </w:r>
      <w:r>
        <w:t xml:space="preserve"> </w:t>
      </w:r>
      <m:oMath>
        <m:r>
          <m:t>K</m:t>
        </m:r>
      </m:oMath>
      <w:r>
        <w:t xml:space="preserve"> </w:t>
      </w:r>
      <w:r>
        <w:t xml:space="preserve">consumed from Traditional only in the Inside case.</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settlement-options"/>
    <w:p>
      <w:pPr>
        <w:pStyle w:val="Heading3"/>
      </w:pPr>
      <w:r>
        <w:t xml:space="preserve">3.3 Two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converted balance. The Trad gross is reduced by</w:t>
      </w:r>
      <w:r>
        <w:t xml:space="preserve"> </w:t>
      </w:r>
      <m:oMath>
        <m:r>
          <m:t>C</m:t>
        </m:r>
        <m:r>
          <m:rPr>
            <m:sty m:val="p"/>
          </m:rPr>
          <m:t>+</m:t>
        </m:r>
        <m:r>
          <m:t>K</m:t>
        </m:r>
      </m:oMath>
      <w:r>
        <w:t xml:space="preserve"> </w:t>
      </w:r>
      <w:r>
        <w:t xml:space="preserve">= $122,000: $100,000 of converted principal moves to Roth, $22,000 is withheld and remitted to the tax authority. The Roth holds $78,000 (the converted principal less the withheld conversion tax); the Bank’s $22,000 reserve remains untouched.</w:t>
      </w:r>
    </w:p>
    <w:p>
      <w:pPr>
        <w:pStyle w:val="BodyText"/>
      </w:pPr>
      <w:r>
        <w:rPr>
          <w:b/>
          <w:bCs/>
        </w:rPr>
        <w:t xml:space="preserve">Option B — Outside funding.</w:t>
      </w:r>
      <w:r>
        <w:t xml:space="preserve"> </w:t>
      </w:r>
      <w:r>
        <w:t xml:space="preserve">The settlement is paid from the Bank reserve. The Trad gross is reduced by</w:t>
      </w:r>
      <w:r>
        <w:t xml:space="preserve"> </w:t>
      </w:r>
      <m:oMath>
        <m:r>
          <m:t>C</m:t>
        </m:r>
      </m:oMath>
      <w:r>
        <w:t xml:space="preserve"> </w:t>
      </w:r>
      <w:r>
        <w:t xml:space="preserve">= $100,000: all $100,000 of converted principal moves to Roth. The Bank’s $22,000 reserve transfers to the tax authority as the conversion-tax settlement.</w:t>
      </w:r>
    </w:p>
    <w:p>
      <w:pPr>
        <w:pStyle w:val="BodyText"/>
      </w:pPr>
      <w:r>
        <w:t xml:space="preserve">Both options extinguish the same deferred-tax liability, capture the same $3,000 rate-arbitrage gain in net after-tax wealth, and leave the household at the same total wealth of $100,000: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two options differ only in</w:t>
      </w:r>
      <w:r>
        <w:t xml:space="preserve"> </w:t>
      </w:r>
      <w:r>
        <w:rPr>
          <w:b/>
          <w:bCs/>
        </w:rPr>
        <w:t xml:space="preserve">wrapper composition</w:t>
      </w:r>
      <w:r>
        <w:t xml:space="preserve">. The $22,000 wrapper-composition difference between Outside and Inside — $22K more in Roth, $22K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2026-05-13T20:22:02Z</dcterms:created>
  <dcterms:modified xsi:type="dcterms:W3CDTF">2026-05-13T20:22:02Z</dcterms:modified>
</cp:coreProperties>
</file>

<file path=docProps/custom.xml><?xml version="1.0" encoding="utf-8"?>
<Properties xmlns="http://schemas.openxmlformats.org/officeDocument/2006/custom-properties" xmlns:vt="http://schemas.openxmlformats.org/officeDocument/2006/docPropsVTypes"/>
</file>