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the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(which corresponds to</w:t>
      </w:r>
      <w:r>
        <w:t xml:space="preserve"> </w:t>
      </w:r>
      <m:oMath>
        <m:sSup>
          <m:e>
            <m:r>
              <m:t>M</m:t>
            </m:r>
          </m:e>
          <m:sup>
            <m:r>
              <m:rPr>
                <m:sty m:val="p"/>
              </m:rPr>
              <m:t>′</m:t>
            </m:r>
          </m:sup>
        </m:sSup>
        <m:r>
          <m:rPr>
            <m:sty m:val="p"/>
          </m:rPr>
          <m:t>≈</m:t>
        </m:r>
        <m:r>
          <m:t>2.74</m:t>
        </m:r>
      </m:oMath>
      <w:r>
        <w:t xml:space="preserve"> </w:t>
      </w:r>
      <w:r>
        <w:t xml:space="preserve">against</w:t>
      </w:r>
      <w:r>
        <w:t xml:space="preserve"> </w:t>
      </w:r>
      <m:oMath>
        <m:r>
          <m:t>M</m:t>
        </m:r>
        <m:r>
          <m:rPr>
            <m:sty m:val="p"/>
          </m:rPr>
          <m:t>=</m:t>
        </m:r>
        <m:r>
          <m:t>3</m:t>
        </m:r>
      </m:oMath>
      <w:r>
        <w:t xml:space="preserve">). Vanguard’s BETR and the SRC’s drag-avoidance alpha are reparameterizations of the same underlying wrapper-drag wedge;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2026-05-15T17:11:44Z</dcterms:created>
  <dcterms:modified xsi:type="dcterms:W3CDTF">2026-05-15T17:11:44Z</dcterms:modified>
</cp:coreProperties>
</file>

<file path=docProps/custom.xml><?xml version="1.0" encoding="utf-8"?>
<Properties xmlns="http://schemas.openxmlformats.org/officeDocument/2006/custom-properties" xmlns:vt="http://schemas.openxmlformats.org/officeDocument/2006/docPropsVTypes"/>
</file>