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forward economic value of each migration emerges over time through the differential growth rates of the source and destination wrappers — drag in the source, no drag in the destination — but at the moment of migration, none of these transactions imposes a cost.</w:t>
      </w:r>
    </w:p>
    <w:p>
      <w:pPr>
        <w:pStyle w:val="BodyText"/>
      </w:pPr>
      <w:r>
        <w:t xml:space="preserve">The SRC framework’s</w:t>
      </w:r>
      <w:r>
        <w:t xml:space="preserve"> </w:t>
      </w:r>
      <w:r>
        <w:t xml:space="preserve">“no cost”</w:t>
      </w:r>
      <w:r>
        <w:t xml:space="preserve"> </w:t>
      </w:r>
      <w:r>
        <w:t xml:space="preserve">claim is therefore not a special-pleading exception for Roth conversions; it is the application of a general principle of wrapper migration neutrality to the conversion-tax settlement mechanic.</w:t>
      </w:r>
    </w:p>
    <w:bookmarkEnd w:id="17"/>
    <w:bookmarkStart w:id="18" w:name="definition"/>
    <w:p>
      <w:pPr>
        <w:pStyle w:val="Heading3"/>
      </w:pPr>
      <w:r>
        <w:t xml:space="preserve">3.6 Definition</w:t>
      </w:r>
    </w:p>
    <w:p>
      <w:pPr>
        <w:pStyle w:val="FirstParagraph"/>
      </w:pPr>
      <w:r>
        <w:rPr>
          <w:b/>
          <w:bCs/>
        </w:rPr>
        <w:t xml:space="preserve">Definition (SRC).</w:t>
      </w:r>
      <w:r>
        <w:t xml:space="preserve"> </w:t>
      </w:r>
      <w:r>
        <w:t xml:space="preserve">The Synthetic Roth Contribution is the dollar amount that, in the Outside-funded scenario, migrates from the taxable wrapper into the tax-free Roth wrapper at the moment of conversion-tax settlement. Its magnitude equals</w:t>
      </w:r>
      <w:r>
        <w:t xml:space="preserve"> </w:t>
      </w:r>
      <m:oMath>
        <m:r>
          <m:t>K</m:t>
        </m:r>
      </m:oMath>
      <w:r>
        <w:t xml:space="preserve">. It is economically equivalent to a same-day statutory Roth contribution of</w:t>
      </w:r>
      <w:r>
        <w:t xml:space="preserve"> </w:t>
      </w:r>
      <m:oMath>
        <m:r>
          <m:t>K</m:t>
        </m:r>
      </m:oMath>
      <w:r>
        <w:t xml:space="preserve">, but is not subject to the IRS annual contribution limit because it is not formally a contribution — it is the implicit by-product of settling the deferred tax liability from outside the retirement account.</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The annual benefit of this transition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in the simplest case where the</w:t>
      </w:r>
      <w:r>
        <w:t xml:space="preserve"> </w:t>
      </w:r>
      <m:oMath>
        <m:r>
          <m:t>K</m:t>
        </m:r>
      </m:oMath>
      <w:r>
        <w:t xml:space="preserve"> </w:t>
      </w:r>
      <w:r>
        <w:t xml:space="preserve">cash would otherwise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 Core. The rate-arbitrage Core — the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w:t>
      </w:r>
      <w:r>
        <w:t xml:space="preserve">PV gain captured at conversion — is present under both Outside and Inside settlement. The SRC is a separate, additional economic component visible only under Outside settlement, and visible only as a</w:t>
      </w:r>
      <w:r>
        <w:t xml:space="preserve"> </w:t>
      </w:r>
      <w:r>
        <w:rPr>
          <w:i/>
          <w:iCs/>
        </w:rPr>
        <w:t xml:space="preserve">wrapper-composition difference</w:t>
      </w:r>
      <w:r>
        <w:t xml:space="preserve">, not as a difference in net after-tax wealth at the moment of conversion.</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that, when the discount rate equals the portfolio rate, the Outside-funded path’s net present value equals the Inside-funded path’s net present value, despite their different cash-flow timings.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the two paths produce identical PV value at the portfolio rate.</w:t>
      </w:r>
    </w:p>
    <w:p>
      <w:pPr>
        <w:pStyle w:val="BodyText"/>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2026-05-14T15:32:12Z</dcterms:created>
  <dcterms:modified xsi:type="dcterms:W3CDTF">2026-05-14T15:32:12Z</dcterms:modified>
</cp:coreProperties>
</file>

<file path=docProps/custom.xml><?xml version="1.0" encoding="utf-8"?>
<Properties xmlns="http://schemas.openxmlformats.org/officeDocument/2006/custom-properties" xmlns:vt="http://schemas.openxmlformats.org/officeDocument/2006/docPropsVTypes"/>
</file>