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extinguish the same deferred-tax liability, capture the same $3,000 rate-arbitrage gain in net after-tax wealth, and leave the household at the same total wealth of $100,000: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two options differ only in</w:t>
      </w:r>
      <w:r>
        <w:t xml:space="preserve"> </w:t>
      </w:r>
      <w:r>
        <w:rPr>
          <w:b/>
          <w:bCs/>
        </w:rPr>
        <w:t xml:space="preserve">wrapper composition</w:t>
      </w:r>
      <w:r>
        <w:t xml:space="preserve">. The $22,000 wrapper-composition difference between Outside and Inside — $22K more in Roth, $22K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re-wrapped</w:t>
      </w:r>
      <w:r>
        <w:t xml:space="preserve"> </w:t>
      </w:r>
      <w:r>
        <w:t xml:space="preserve">$22,000 of after-tax cash from a tax-drag-bearing Bank wrapper into a tax-free Roth wrapper.</w:t>
      </w:r>
    </w:p>
    <w:bookmarkEnd w:id="15"/>
    <w:bookmarkStart w:id="16" w:name="symmetry-to-statutory-roth-contributions"/>
    <w:p>
      <w:pPr>
        <w:pStyle w:val="Heading3"/>
      </w:pPr>
      <w:r>
        <w:t xml:space="preserve">3.4 Symmetry to Statutory Roth Contributions</w:t>
      </w:r>
    </w:p>
    <w:p>
      <w:pPr>
        <w:pStyle w:val="FirstParagraph"/>
      </w:pPr>
      <w:r>
        <w:t xml:space="preserve">The</w:t>
      </w:r>
      <w:r>
        <w:t xml:space="preserve"> </w:t>
      </w:r>
      <w:r>
        <w:t xml:space="preserve">“no cost”</w:t>
      </w:r>
      <w:r>
        <w:t xml:space="preserve"> </w:t>
      </w:r>
      <w:r>
        <w:t xml:space="preserve">framing of the SRC has a direct structural analogue in the statutory Roth contribution.</w:t>
      </w:r>
    </w:p>
    <w:p>
      <w:pPr>
        <w:pStyle w:val="BodyText"/>
      </w:pPr>
      <w:r>
        <w:t xml:space="preserve">A household that contributes $22,000 to a Roth 401K from after-tax Bank cash performs an explicit wrapper migration: $22,000 of after-tax cash that previously sat in the Bank wrapper now sits in the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 settled at the household’s marginal rate. The contribution itself is wrapper migration alone, with no reduction in after-tax wealth at the migration moment.</w:t>
      </w:r>
    </w:p>
    <w:p>
      <w:pPr>
        <w:pStyle w:val="BodyText"/>
      </w:pPr>
      <w:r>
        <w:t xml:space="preserve">The SRC mechanic is the same wrapper migration, performed implicitly via the conversion-tax settlement. The tax that the household pays to settle the deferred Traditional liability is not a</w:t>
      </w:r>
      <w:r>
        <w:t xml:space="preserve"> </w:t>
      </w:r>
      <w:r>
        <w:t xml:space="preserve">“cost of the conversion”</w:t>
      </w:r>
      <w:r>
        <w:t xml:space="preserve"> </w:t>
      </w:r>
      <w:r>
        <w:t xml:space="preserve">any more than the income tax paid on W-2 earnings is a</w:t>
      </w:r>
      <w:r>
        <w:t xml:space="preserve"> </w:t>
      </w:r>
      <w:r>
        <w:t xml:space="preserve">“cost of the Roth contribution.”</w:t>
      </w:r>
      <w:r>
        <w:t xml:space="preserve"> </w:t>
      </w:r>
      <w:r>
        <w:t xml:space="preserve">Both are settlements of tax obligations that were always owed; both leave after-tax wealth unchanged at the wrapper-migration moment; both produce the same prospective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mechanics differ only in</w:t>
      </w:r>
      <w:r>
        <w:t xml:space="preserve"> </w:t>
      </w:r>
      <w:r>
        <w:rPr>
          <w:i/>
          <w:iCs/>
        </w:rPr>
        <w:t xml:space="preserve">which</w:t>
      </w:r>
      <w:r>
        <w:t xml:space="preserve"> </w:t>
      </w:r>
      <w:r>
        <w:t xml:space="preserve">tax obligation is being settled (income tax on W-2 earnings vs. deferred tax on Traditional balances) and</w:t>
      </w:r>
      <w:r>
        <w:t xml:space="preserve"> </w:t>
      </w:r>
      <w:r>
        <w:rPr>
          <w:i/>
          <w:iCs/>
        </w:rPr>
        <w:t xml:space="preserve">when</w:t>
      </w:r>
      <w:r>
        <w:t xml:space="preserve"> </w:t>
      </w:r>
      <w:r>
        <w:t xml:space="preserve">the corresponding wrapper migration is initiated.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generalizes to a primitive principle that the SRC instantiates:</w:t>
      </w:r>
    </w:p>
    <w:p>
      <w:pPr>
        <w:pStyle w:val="BodyText"/>
      </w:pPr>
      <w:r>
        <w:rPr>
          <w:b/>
          <w:bCs/>
        </w:rPr>
        <w:t xml:space="preserve">Definition (Wrapper Migration Neutrality).</w:t>
      </w:r>
      <w:r>
        <w:t xml:space="preserve"> </w:t>
      </w:r>
      <w:r>
        <w:t xml:space="preserve">A</w:t>
      </w:r>
      <w:r>
        <w:t xml:space="preserve"> </w:t>
      </w:r>
      <w:r>
        <w:rPr>
          <w:i/>
          <w:iCs/>
        </w:rPr>
        <w:t xml:space="preserve">pure wrapper migration</w:t>
      </w:r>
      <w:r>
        <w:t xml:space="preserve"> </w:t>
      </w:r>
      <w:r>
        <w:t xml:space="preserve">is any transaction that alters the tax-wrapper composition of a household’s after-tax wealth without changing contemporaneous total after-tax household wealth. The moment of a pure wrapper migration imposes no cost — it is a reallocation, not an expense.</w:t>
      </w:r>
    </w:p>
    <w:p>
      <w:pPr>
        <w:pStyle w:val="BodyText"/>
      </w:pPr>
      <w:r>
        <w:t xml:space="preserve">Instances of the principle:</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of after-tax cash from the Bank wrapper to the Roth wrapper (implicitly, via the conversion-tax settlement mechanic), in addition to the rate-arbitrage gain captured on the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forward economic value of each migration emerges over time through the differential growth rates of the source and destination wrappers — drag in the source, no drag in the destination — but at the moment of migration, none of these transactions imposes a cost.</w:t>
      </w:r>
    </w:p>
    <w:p>
      <w:pPr>
        <w:pStyle w:val="BodyText"/>
      </w:pPr>
      <w:r>
        <w:t xml:space="preserve">The SRC framework’s</w:t>
      </w:r>
      <w:r>
        <w:t xml:space="preserve"> </w:t>
      </w:r>
      <w:r>
        <w:t xml:space="preserve">“no cost”</w:t>
      </w:r>
      <w:r>
        <w:t xml:space="preserve"> </w:t>
      </w:r>
      <w:r>
        <w:t xml:space="preserve">claim is therefore not a special-pleading exception for Roth conversions; it is the application of a general principle of wrapper migration neutrality to the conversion-tax settlement mechanic.</w:t>
      </w:r>
    </w:p>
    <w:bookmarkEnd w:id="17"/>
    <w:bookmarkStart w:id="18" w:name="definition"/>
    <w:p>
      <w:pPr>
        <w:pStyle w:val="Heading3"/>
      </w:pPr>
      <w:r>
        <w:t xml:space="preserve">3.6 Definition</w:t>
      </w:r>
    </w:p>
    <w:p>
      <w:pPr>
        <w:pStyle w:val="FirstParagraph"/>
      </w:pPr>
      <w:r>
        <w:rPr>
          <w:b/>
          <w:bCs/>
        </w:rPr>
        <w:t xml:space="preserve">Definition (SRC).</w:t>
      </w:r>
      <w:r>
        <w:t xml:space="preserve"> </w:t>
      </w:r>
      <w:r>
        <w:t xml:space="preserve">The Synthetic Roth Contribution is the dollar amount that, in the Outside-funded scenario, migrates from the taxable wrapper into the tax-free Roth wrapper at the moment of conversion-tax settlement. Its magnitude equals</w:t>
      </w:r>
      <w:r>
        <w:t xml:space="preserve"> </w:t>
      </w:r>
      <m:oMath>
        <m:r>
          <m:t>K</m:t>
        </m:r>
      </m:oMath>
      <w:r>
        <w:t xml:space="preserve">. It is economically equivalent to a same-day statutory Roth contribution of</w:t>
      </w:r>
      <w:r>
        <w:t xml:space="preserve"> </w:t>
      </w:r>
      <m:oMath>
        <m:r>
          <m:t>K</m:t>
        </m:r>
      </m:oMath>
      <w:r>
        <w:t xml:space="preserve">, but is not subject to the IRS annual contribution limit because it is not formally a contribution — it is the implicit by-product of settling the deferred tax liability from outside the retirement account.</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The annual benefit of this transition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in the simplest case where the</w:t>
      </w:r>
      <w:r>
        <w:t xml:space="preserve"> </w:t>
      </w:r>
      <m:oMath>
        <m:r>
          <m:t>K</m:t>
        </m:r>
      </m:oMath>
      <w:r>
        <w:t xml:space="preserve"> </w:t>
      </w:r>
      <w:r>
        <w:t xml:space="preserve">cash would otherwise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 Core. The rate-arbitrage Core — the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w:t>
      </w:r>
      <w:r>
        <w:t xml:space="preserve">PV gain captured at conversion — is present under both Outside and Inside settlement. The SRC is a separate, additional economic component visible only under Outside settlement, and visible only as a</w:t>
      </w:r>
      <w:r>
        <w:t xml:space="preserve"> </w:t>
      </w:r>
      <w:r>
        <w:rPr>
          <w:i/>
          <w:iCs/>
        </w:rPr>
        <w:t xml:space="preserve">wrapper-composition difference</w:t>
      </w:r>
      <w:r>
        <w:t xml:space="preserve">, not as a difference in net after-tax wealth at the moment of conversion.</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that, when the discount rate equals the portfolio rate, the Outside-funded path’s net present value equals the Inside-funded path’s net present value, despite their different cash-flow timings.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Marital status: single</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scenario) − ATCF(no-conversion baseline), where the conversion scenario applies the $123,850 conversion described above (which fills cumulatively through the 22% federal bracket under the assumed inputs) and the baseline applies no conversion at all.</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the two paths produce identical PV value at the portfolio rate.</w:t>
      </w:r>
    </w:p>
    <w:p>
      <w:pPr>
        <w:pStyle w:val="BodyText"/>
      </w:pPr>
      <w:r>
        <w:t xml:space="preserve">The household paid $17,966 at year 0 and received its present-value equivalent back over 20 years — at the portfolio rate. This is the algebraic identity in production-system numbers. The Outside scenario’s full-cash-flow IRR of 15.01% exceeds the portfolio rate by ~8 percentage points; this excess captures the rate-arbitrage Core, IRMAA savings, and tax-drag components that ride on top of the (PV-zero-at-7%) SRC. The Inside scenario has no outside outlay, so its full-cash-flow IRR is undefined; only the Outside path admits a meaningful IRR measurement on the</w:t>
      </w:r>
      <w:r>
        <w:t xml:space="preserve"> </w:t>
      </w:r>
      <m:oMath>
        <m:r>
          <m:t>K</m:t>
        </m:r>
      </m:oMath>
      <w:r>
        <w:t xml:space="preserve"> </w:t>
      </w:r>
      <w:r>
        <w:t xml:space="preserve">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The Section 5 demonstration uses Fixed Annuity (FA) distributions, which deplete the retirement balance to zero at the end of the owner’s life. The constant-per-year SRC increment of $1,695.86 emerges from FA’s flat distribution schedule.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Same profile, same conversion (</w:t>
      </w:r>
      <m:oMath>
        <m:r>
          <m:t>C</m:t>
        </m:r>
      </m:oMath>
      <w:r>
        <w:t xml:space="preserve"> </w:t>
      </w:r>
      <w:r>
        <w:t xml:space="preserve">= $123,850,</w:t>
      </w:r>
      <w:r>
        <w:t xml:space="preserve"> </w:t>
      </w:r>
      <m:oMath>
        <m:r>
          <m:t>K</m:t>
        </m:r>
      </m:oMath>
      <w:r>
        <w:t xml:space="preserve"> </w:t>
      </w:r>
      <w:r>
        <w:t xml:space="preserve">= $17,966), same portfolio return assumption (7.00%), same 20-year owner life expectancy. RMD-Only distributions begin at the IRS-mandated age 73 (year 2030), running through age 92 (year 2049), followed by a 10-year statutory beneficiary distribution period (years 2050–2059), distributed as a constant annuity-payment stream over the 10 years (not as continued RMDs, since the inherited Roth has no annual RMD requirement under SECURE Act’s 10-year rule).</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is that the per-year</w:t>
      </w:r>
      <w:r>
        <w:t xml:space="preserve"> </w:t>
      </w:r>
      <w:r>
        <w:rPr>
          <w:b/>
          <w:bCs/>
        </w:rPr>
        <w:t xml:space="preserve">(Outside − Inside) increment is NOT constant</w:t>
      </w:r>
      <w:r>
        <w:t xml:space="preserve">. RMD distributions vary with the age-indexed divisor and with the post-conversion balance trajectory. The SRC’s per-year contribution therefore tracks RMD’s varying schedule rather than producing a flat dollar value.</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the per-year increment varying from $831 (year 2030) to $2,596 (year 2049) in the owner period and to a flat $3,901 (years 2050–2059) in the beneficiary period. The variation matters; the PV total does not.</w:t>
      </w:r>
    </w:p>
    <w:p>
      <w:pPr>
        <w:pStyle w:val="BodyText"/>
      </w:pPr>
      <w:r>
        <w:t xml:space="preserve">Compare to the FA case (§5.3), where each year’s increment was a flat $1,695.86 because FA’s distribution schedule itself is flat. RMD’s per-year increment varies because RMD’s distribution amounts vary year-by-year, which in turn modulates the year-by-year benefit of having a larger (Outside) versus smaller (Inside) starting Roth balance.</w:t>
      </w:r>
      <w:r>
        <w:t xml:space="preserve"> </w:t>
      </w:r>
      <w:r>
        <w:rPr>
          <w:b/>
          <w:bCs/>
        </w:rPr>
        <w:t xml:space="preserve">The varying per-year SRC increment is a feature of distribution-method-specific cash-flow shapes, not a violation of the SRC framework.</w:t>
      </w:r>
      <w:r>
        <w:t xml:space="preserve"> </w:t>
      </w:r>
      <w:r>
        <w:t xml:space="preserve">Across both distribution methods, the SRC’s PV at the portfolio rate equals exactly zero.</w:t>
      </w:r>
    </w:p>
    <w:bookmarkEnd w:id="29"/>
    <w:bookmarkStart w:id="30" w:name="X2c317d26497880f028adf5524dc89e526149274"/>
    <w:p>
      <w:pPr>
        <w:pStyle w:val="Heading3"/>
      </w:pPr>
      <w:r>
        <w:t xml:space="preserve">5B.4 The SRC’s Lifetime Nominal Payout — Engine Formula and Empirical Cross-Validation</w:t>
      </w:r>
    </w:p>
    <w:p>
      <w:pPr>
        <w:pStyle w:val="FirstParagraph"/>
      </w:pPr>
      <w:r>
        <w:t xml:space="preserve">The SRC’s</w:t>
      </w:r>
      <w:r>
        <w:t xml:space="preserve"> </w:t>
      </w:r>
      <w:r>
        <w:rPr>
          <w:b/>
          <w:bCs/>
        </w:rPr>
        <w:t xml:space="preserve">lifetime nominal payout</w:t>
      </w:r>
      <w:r>
        <w:t xml:space="preserve"> </w:t>
      </w:r>
      <w:r>
        <w:t xml:space="preserve">is the total of all year-by-year after-tax distributions the household receives from the Roth attributable to the conversion-tax dollar entering the Roth (the synthetic contribution). Conceptually this is the sum of the per-year (Outside − Inside) ΔATCF column over the full distribution horizon: the SRC’s nominal lifetime cash payoff.</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household’s distribution schedule. Under FA distribution,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(1.88786 in our scenario, with</w:t>
      </w:r>
      <w:r>
        <w:t xml:space="preserve"> </w:t>
      </w:r>
      <m:oMath>
        <m:r>
          <m:t>r</m:t>
        </m:r>
        <m:r>
          <m:rPr>
            <m:sty m:val="p"/>
          </m:rPr>
          <m:t>=</m:t>
        </m:r>
        <m:r>
          <m:t>7</m:t>
        </m:r>
        <m:r>
          <m:rPr>
            <m:sty m:val="p"/>
          </m:rPr>
          <m:t>%</m:t>
        </m:r>
      </m:oMath>
      <w:r>
        <w:t xml:space="preserve">,</w:t>
      </w:r>
      <w:r>
        <w:t xml:space="preserve"> </w:t>
      </w:r>
      <m:oMath>
        <m:r>
          <m:t>N</m:t>
        </m:r>
        <m:r>
          <m:rPr>
            <m:sty m:val="p"/>
          </m:rPr>
          <m:t>=</m:t>
        </m:r>
        <m:r>
          <m:t>20</m:t>
        </m:r>
      </m:oMath>
      <w:r>
        <w:t xml:space="preserve">). Under RMD distribution, it is determined empirically from the year-by-year RMD divisor schedule applied to the SRC’s</w:t>
      </w:r>
      <w:r>
        <w:t xml:space="preserve"> </w:t>
      </w:r>
      <m:oMath>
        <m:r>
          <m:t>K</m:t>
        </m:r>
      </m:oMath>
      <w:r>
        <w:t xml:space="preserve"> </w:t>
      </w:r>
      <w:r>
        <w:t xml:space="preserve">dollars. For the Outside RMD scenario, the payout multiple is 3.9647, so the lifetime nominal payout = $17,966 × 3.9647 = $71,229.59.</w:t>
      </w:r>
    </w:p>
    <w:p>
      <w:pPr>
        <w:pStyle w:val="BodyText"/>
      </w:pPr>
      <w:r>
        <w:rPr>
          <w:b/>
          <w:bCs/>
        </w:rPr>
        <w:t xml:space="preserve">What 3.9647 is.</w:t>
      </w:r>
      <w:r>
        <w:t xml:space="preserve"> </w:t>
      </w:r>
      <w:r>
        <w:t xml:space="preserve">The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(Group 1) is computed first and serves as the benchmark.</w:t>
      </w:r>
    </w:p>
    <w:p>
      <w:pPr>
        <w:pStyle w:val="BodyText"/>
      </w:pPr>
      <w:r>
        <w:rPr>
          <w:b/>
          <w:bCs/>
        </w:rPr>
        <w:t xml:space="preserve">Why the same 3.9647 appears at every cumulative bracket.</w:t>
      </w:r>
      <w:r>
        <w:t xml:space="preserve"> </w:t>
      </w:r>
      <w:r>
        <w:t xml:space="preserve">Each bracket — Group 1 (10%), Group 2 (12%), Group 3 (22%), Group 4 (the $123,850 conversion) — independently computes its own payout multiple from its own ΔATCF,</w:t>
      </w:r>
      <w:r>
        <w:t xml:space="preserve"> </w:t>
      </w:r>
      <m:oMath>
        <m:r>
          <m:t>K</m:t>
        </m:r>
      </m:oMath>
      <w:r>
        <w:t xml:space="preserve">, and rate-spread inputs. That every subsequent bracket reproduces Group 1’s benchmark value of 3.9647 is the empirical signature of the SRC framework’s internal consistency. The payout multiple is a</w:t>
      </w:r>
      <w:r>
        <w:t xml:space="preserve"> </w:t>
      </w:r>
      <w:r>
        <w:rPr>
          <w:b/>
          <w:bCs/>
        </w:rPr>
        <w:t xml:space="preserve">structural property of the household’s distribution schedule</w:t>
      </w:r>
      <w:r>
        <w:t xml:space="preserve">, not an artifact of any particular conversion size.</w:t>
      </w:r>
    </w:p>
    <w:p>
      <w:pPr>
        <w:pStyle w:val="BodyText"/>
      </w:pPr>
      <w:r>
        <w:rPr>
          <w:b/>
          <w:bCs/>
        </w:rPr>
        <w:t xml:space="preserve">Cross-validation against the year-by-year sum.</w:t>
      </w:r>
      <w:r>
        <w:t xml:space="preserve"> </w:t>
      </w:r>
      <w:r>
        <w:t xml:space="preserve">The closed-form lifetime nominal payout of $71,229.59 matches the §5B.2 table’s year-by-year nominal sum of (Outside − Inside) ΔATCF of $71,229.46 to within $0.13. Two independent computational paths — the multiplier formula and the empirical year-stream sum — converge to the same dollar amount. This is what §5B.4 demonstrates: cross-validation of the multiplier-based output against an independent empirical sum.</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2026-05-14T13:40:05Z</dcterms:created>
  <dcterms:modified xsi:type="dcterms:W3CDTF">2026-05-14T13:40:05Z</dcterms:modified>
</cp:coreProperties>
</file>

<file path=docProps/custom.xml><?xml version="1.0" encoding="utf-8"?>
<Properties xmlns="http://schemas.openxmlformats.org/officeDocument/2006/custom-properties" xmlns:vt="http://schemas.openxmlformats.org/officeDocument/2006/docPropsVTypes"/>
</file>