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5"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2" w:name="tax-drag-differential"/>
    <w:p>
      <w:pPr>
        <w:pStyle w:val="Heading3"/>
      </w:pPr>
      <w:r>
        <w:t xml:space="preserve">6.1 Tax-Drag Differential</w:t>
      </w:r>
    </w:p>
    <w:p>
      <w:pPr>
        <w:pStyle w:val="FirstParagraph"/>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pre-tax return becomes an after-drag 6.65%. This 35 basis point annual differential compounds non-trivially over a multi-decade retirement horizon.</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4"/>
        </w:numPr>
      </w:pPr>
      <w:r>
        <w:rPr>
          <w:b/>
          <w:bCs/>
        </w:rPr>
        <w:t xml:space="preserve">Outside FA scenario (§5):</w:t>
      </w:r>
      <w:r>
        <w:t xml:space="preserve"> </w:t>
      </w:r>
      <w:r>
        <w:t xml:space="preserve">FV $917.08 / PV $485.78</w:t>
      </w:r>
    </w:p>
    <w:p>
      <w:pPr>
        <w:pStyle w:val="Compact"/>
        <w:numPr>
          <w:ilvl w:val="0"/>
          <w:numId w:val="1004"/>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2"/>
    <w:bookmarkStart w:id="33"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Empirical evidence for this channel emerges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3"/>
    <w:bookmarkStart w:id="34"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4"/>
    <w:bookmarkEnd w:id="35"/>
    <w:bookmarkStart w:id="36"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5"/>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5"/>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6"/>
    <w:bookmarkStart w:id="37"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6"/>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6"/>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6"/>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6"/>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8"/>
    <w:bookmarkStart w:id="41" w:name="X1fb9906062232a1c9ed64da0711341d859c89e8"/>
    <w:p>
      <w:pPr>
        <w:pStyle w:val="Heading2"/>
      </w:pPr>
      <w:r>
        <w:t xml:space="preserve">Appendix A: Selected Values from All Four Scenarios</w:t>
      </w:r>
    </w:p>
    <w:bookmarkStart w:id="39"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9"/>
    <w:bookmarkStart w:id="40"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7"/>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7"/>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7"/>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7"/>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7"/>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7"/>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7"/>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2026-05-14T23:43:25Z</dcterms:created>
  <dcterms:modified xsi:type="dcterms:W3CDTF">2026-05-14T23:43:25Z</dcterms:modified>
</cp:coreProperties>
</file>

<file path=docProps/custom.xml><?xml version="1.0" encoding="utf-8"?>
<Properties xmlns="http://schemas.openxmlformats.org/officeDocument/2006/custom-properties" xmlns:vt="http://schemas.openxmlformats.org/officeDocument/2006/docPropsVTypes"/>
</file>