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PV values at the portfolio rate!</w:t>
      </w:r>
    </w:p>
    <w:p>
      <w:pPr>
        <w:pStyle w:val="BodyText"/>
      </w:pPr>
      <w:r>
        <w:t xml:space="preserve">The household paid $17,966 at year 0 and received its present-value equivalent back over 20 years. This is the algebraic identity in production-system numbers. The Outside scenario’s 15.01% full-cash-flow IRR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2026-05-14T18:11:25Z</dcterms:created>
  <dcterms:modified xsi:type="dcterms:W3CDTF">2026-05-14T18:11:25Z</dcterms:modified>
</cp:coreProperties>
</file>

<file path=docProps/custom.xml><?xml version="1.0" encoding="utf-8"?>
<Properties xmlns="http://schemas.openxmlformats.org/officeDocument/2006/custom-properties" xmlns:vt="http://schemas.openxmlformats.org/officeDocument/2006/docPropsVTypes"/>
</file>