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X48f2a49ef79a17a8ea4d98e7d93a6f2f9fe5d4b"/>
    <w:p>
      <w:pPr>
        <w:pStyle w:val="Heading2"/>
      </w:pPr>
      <w:r>
        <w:t xml:space="preserve">6. Where the SRC Has Real Value: Tax-Drag Differential</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r>
        <w:pict>
          <v:rect style="width:0;height:1.5pt" o:hralign="center" o:hrstd="t" o:hr="t"/>
        </w:pict>
      </w:r>
    </w:p>
    <w:bookmarkEnd w:id="32"/>
    <w:bookmarkStart w:id="33"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2026-05-15T10:36:55Z</dcterms:created>
  <dcterms:modified xsi:type="dcterms:W3CDTF">2026-05-15T10:36:55Z</dcterms:modified>
</cp:coreProperties>
</file>

<file path=docProps/custom.xml><?xml version="1.0" encoding="utf-8"?>
<Properties xmlns="http://schemas.openxmlformats.org/officeDocument/2006/custom-properties" xmlns:vt="http://schemas.openxmlformats.org/officeDocument/2006/docPropsVTypes"/>
</file>