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When a household’s personal discount rate</w:t>
      </w:r>
      <w:r>
        <w:t xml:space="preserve"> </w:t>
      </w:r>
      <m:oMath>
        <m:r>
          <m:t>ρ</m:t>
        </m:r>
      </m:oMath>
      <w:r>
        <w:t xml:space="preserve"> </w:t>
      </w:r>
      <w:r>
        <w:t xml:space="preserve">diverges from the portfolio rate</w:t>
      </w:r>
      <w:r>
        <w:t xml:space="preserve"> </w:t>
      </w:r>
      <m:oMath>
        <m:r>
          <m:t>r</m:t>
        </m:r>
      </m:oMath>
      <w:r>
        <w:t xml:space="preserve">, the identity breaks:</w:t>
      </w:r>
      <w:r>
        <w:t xml:space="preserve"> </w:t>
      </w:r>
      <m:oMath>
        <m:r>
          <m:t>ρ</m:t>
        </m:r>
        <m:r>
          <m:rPr>
            <m:sty m:val="p"/>
          </m:rPr>
          <m:t>&gt;</m:t>
        </m:r>
        <m:r>
          <m:t>r</m:t>
        </m:r>
      </m:oMath>
      <w:r>
        <w:t xml:space="preserve"> </w:t>
      </w:r>
      <w:r>
        <w:t xml:space="preserve">produces negative SRC PV,</w:t>
      </w:r>
      <w:r>
        <w:t xml:space="preserve"> </w:t>
      </w:r>
      <m:oMath>
        <m:r>
          <m:t>ρ</m:t>
        </m:r>
        <m:r>
          <m:rPr>
            <m:sty m:val="p"/>
          </m:rPr>
          <m:t>&lt;</m:t>
        </m:r>
        <m:r>
          <m:t>r</m:t>
        </m:r>
      </m:oMath>
      <w:r>
        <w:t xml:space="preserve"> </w:t>
      </w:r>
      <w:r>
        <w:t xml:space="preserve">positive — but in practice most risk-averse retirees have</w:t>
      </w:r>
      <w:r>
        <w:t xml:space="preserve"> </w:t>
      </w:r>
      <m:oMath>
        <m:r>
          <m:t>ρ</m:t>
        </m:r>
        <m:r>
          <m:rPr>
            <m:sty m:val="p"/>
          </m:rPr>
          <m:t>≤</m:t>
        </m:r>
        <m:r>
          <m:t>r</m:t>
        </m:r>
      </m:oMath>
      <w:r>
        <w:t xml:space="preserve">, keeping the SRC neutral-to-favorable in PV terms.</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IRMAA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1"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p>
      <w:r>
        <w:pict>
          <v:rect style="width:0;height:1.5pt" o:hralign="center" o:hrstd="t" o:hr="t"/>
        </w:pict>
      </w:r>
    </w:p>
    <w:bookmarkEnd w:id="30"/>
    <w:bookmarkEnd w:id="31"/>
    <w:bookmarkStart w:id="32" w:name="the-src-alpha-tax-drag-avoidance"/>
    <w:p>
      <w:pPr>
        <w:pStyle w:val="Heading2"/>
      </w:pPr>
      <w:r>
        <w:t xml:space="preserve">6. The SRC Alpha: Tax-Drag Avoidance</w:t>
      </w:r>
    </w:p>
    <w:p>
      <w:pPr>
        <w:pStyle w:val="FirstParagraph"/>
      </w:pPr>
      <w:r>
        <w:t xml:space="preserve">Section 4 proved that the SRC present value is zero when the discount rate equals the portfolio rate. This makes the SRC appear neutral. It is not. The SRC has real economic value through the tax-drag-differential channel that escapes a pure PV-at-portfolio-rate framing.</w:t>
      </w:r>
    </w:p>
    <w:p>
      <w:pPr>
        <w:pStyle w:val="BodyText"/>
      </w:pPr>
      <w:r>
        <w:t xml:space="preserve">Every dollar in the Roth wrapper compounds at</w:t>
      </w:r>
      <w:r>
        <w:t xml:space="preserve"> </w:t>
      </w:r>
      <m:oMath>
        <m:r>
          <m:t>r</m:t>
        </m:r>
      </m:oMath>
      <w:r>
        <w:t xml:space="preserve">. In a taxable brokerage wrapper that dollar pays tax on dividends, interest, realized capital gains, and turnover-driven distributions every year, compounding at an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where</w:t>
      </w:r>
      <w:r>
        <w:t xml:space="preserve"> </w:t>
      </w:r>
      <m:oMath>
        <m:r>
          <m:t>d</m:t>
        </m:r>
      </m:oMath>
      <w:r>
        <w:t xml:space="preserve"> </w:t>
      </w:r>
      <w:r>
        <w:t xml:space="preserve">represents the annual percent of return lost to taxation. This paper uses</w:t>
      </w:r>
      <w:r>
        <w:t xml:space="preserve"> </w:t>
      </w:r>
      <m:oMath>
        <m:r>
          <m:t>d</m:t>
        </m:r>
        <m:r>
          <m:rPr>
            <m:sty m:val="p"/>
          </m:rPr>
          <m:t>=</m:t>
        </m:r>
        <m:r>
          <m:t>5</m:t>
        </m:r>
        <m:r>
          <m:rPr>
            <m:sty m:val="p"/>
          </m:rPr>
          <m:t>%</m:t>
        </m:r>
      </m:oMath>
      <w:r>
        <w:t xml:space="preserve"> </w:t>
      </w:r>
      <w:r>
        <w:t xml:space="preserve">— i.e., a 7.0% tax-free return becomes an after-drag 6.65%. This 35 basis point annual differential compounds non-trivially over a multi-decade retirement horizon.</w:t>
      </w:r>
    </w:p>
    <w:p>
      <w:pPr>
        <w:pStyle w:val="BodyText"/>
      </w:pPr>
      <w:r>
        <w:t xml:space="preserve">Under Outside payment,</w:t>
      </w:r>
      <w:r>
        <w:t xml:space="preserve"> </w:t>
      </w:r>
      <m:oMath>
        <m:r>
          <m:t>K</m:t>
        </m:r>
      </m:oMath>
      <w:r>
        <w:t xml:space="preserve"> </w:t>
      </w:r>
      <w:r>
        <w:t xml:space="preserve">dollars move from the taxable into the Roth wrapper and compound at</w:t>
      </w:r>
      <w:r>
        <w:t xml:space="preserve"> </w:t>
      </w:r>
      <m:oMath>
        <m:r>
          <m:t>r</m:t>
        </m:r>
      </m:oMath>
      <w:r>
        <w:t xml:space="preserve"> </w:t>
      </w:r>
      <w:r>
        <w:t xml:space="preserve">instead of</w:t>
      </w:r>
      <w:r>
        <w:t xml:space="preserve"> </w:t>
      </w:r>
      <m:oMath>
        <m:sSub>
          <m:e>
            <m:r>
              <m:t>r</m:t>
            </m:r>
          </m:e>
          <m:sub>
            <m:r>
              <m:t>d</m:t>
            </m:r>
          </m:sub>
        </m:sSub>
      </m:oMath>
      <w:r>
        <w:t xml:space="preserve">. This drag-avoidance benefit is the lifetime PV/FV differential of the SRC compounding at</w:t>
      </w:r>
      <w:r>
        <w:t xml:space="preserve"> </w:t>
      </w:r>
      <m:oMath>
        <m:r>
          <m:t>r</m:t>
        </m:r>
      </m:oMath>
      <w:r>
        <w:t xml:space="preserve"> </w:t>
      </w:r>
      <w:r>
        <w:t xml:space="preserve">vs. the taxable counterfactual compounding at</w:t>
      </w:r>
      <w:r>
        <w:t xml:space="preserve"> </w:t>
      </w:r>
      <m:oMath>
        <m:sSub>
          <m:e>
            <m:r>
              <m:t>r</m:t>
            </m:r>
          </m:e>
          <m:sub>
            <m:r>
              <m:t>d</m:t>
            </m:r>
          </m:sub>
        </m:sSub>
      </m:oMath>
      <w:r>
        <w:t xml:space="preserve">. This alpha component exists only under Outside payment — Inside payment retains</w:t>
      </w:r>
      <w:r>
        <w:t xml:space="preserve"> </w:t>
      </w:r>
      <m:oMath>
        <m:r>
          <m:t>K</m:t>
        </m:r>
      </m:oMath>
      <w:r>
        <w:t xml:space="preserve"> </w:t>
      </w:r>
      <w:r>
        <w:t xml:space="preserve">dollars in the taxable wrapper.</w:t>
      </w:r>
    </w:p>
    <w:p>
      <w:pPr>
        <w:pStyle w:val="BodyText"/>
      </w:pPr>
      <w:r>
        <w:t xml:space="preserve">Empirical values:</w:t>
      </w:r>
    </w:p>
    <w:p>
      <w:pPr>
        <w:pStyle w:val="Compact"/>
        <w:numPr>
          <w:ilvl w:val="0"/>
          <w:numId w:val="1004"/>
        </w:numPr>
      </w:pPr>
      <w:r>
        <w:rPr>
          <w:b/>
          <w:bCs/>
        </w:rPr>
        <w:t xml:space="preserve">Outside FA scenario (§5):</w:t>
      </w:r>
      <w:r>
        <w:t xml:space="preserve"> </w:t>
      </w:r>
      <w:r>
        <w:t xml:space="preserve">FV $917.08 / PV $485.78</w:t>
      </w:r>
    </w:p>
    <w:p>
      <w:pPr>
        <w:pStyle w:val="Compact"/>
        <w:numPr>
          <w:ilvl w:val="0"/>
          <w:numId w:val="1004"/>
        </w:numPr>
      </w:pPr>
      <w:r>
        <w:rPr>
          <w:b/>
          <w:bCs/>
        </w:rPr>
        <w:t xml:space="preserve">Outside RMD scenario (§5B):</w:t>
      </w:r>
      <w:r>
        <w:t xml:space="preserve"> </w:t>
      </w:r>
      <w:r>
        <w:t xml:space="preserve">FV $5,092 / PV $1,021</w:t>
      </w:r>
    </w:p>
    <w:p>
      <w:pPr>
        <w:pStyle w:val="FirstParagraph"/>
      </w:pPr>
      <w:r>
        <w:t xml:space="preserve">RMD values exceed the FA-scenario values on both metrics. RMD’s 30-year horizon (20 owner + 10 beneficiary) keeps SRC dollars compounding in the Roth wrapper longer than FA’s 20 years, producing a larger cumulative drag-avoidance differential. The FV ratio (~5.5×) exceeds the PV ratio (~2.1×) because beneficiary-period drag-avoidance accruals are heavily discounted back to today.</w:t>
      </w:r>
    </w:p>
    <w:p>
      <w:pPr>
        <w:pStyle w:val="BodyText"/>
      </w:pPr>
      <w:r>
        <w:t xml:space="preserve">Unlike the SRC’s PV-zero identity at the portfolio rate, this drag-avoidance alpha is quantifiable, accrues only under Outside funding, and belongs in the alpha sum when evaluating an Outside-funded conversion (§7).</w:t>
      </w:r>
    </w:p>
    <w:p>
      <w:r>
        <w:pict>
          <v:rect style="width:0;height:1.5pt" o:hralign="center" o:hrstd="t" o:hr="t"/>
        </w:pict>
      </w:r>
    </w:p>
    <w:bookmarkEnd w:id="32"/>
    <w:bookmarkStart w:id="33"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required. Inside funding requires a pre-tax distribution to cover the conversion tax, subject to the 10% early-withdrawal penalty. Conversion and SRC are bundled — choosing to convert necessarily activates the SRC.</w:t>
      </w:r>
    </w:p>
    <w:p>
      <w:pPr>
        <w:pStyle w:val="BodyText"/>
      </w:pPr>
      <w:r>
        <w:rPr>
          <w:i/>
          <w:iCs/>
        </w:rPr>
        <w:t xml:space="preserve">At age 59½+:</w:t>
      </w:r>
      <w:r>
        <w:t xml:space="preserve"> </w:t>
      </w:r>
      <w:r>
        <w:t xml:space="preserve">both funding paths are available, and the household’s decision separates into two:</w:t>
      </w:r>
    </w:p>
    <w:p>
      <w:pPr>
        <w:numPr>
          <w:ilvl w:val="0"/>
          <w:numId w:val="1005"/>
        </w:numPr>
      </w:pPr>
      <w:r>
        <w:rPr>
          <w:b/>
          <w:bCs/>
        </w:rPr>
        <w:t xml:space="preserve">Conversion (yes/no, how much):</w:t>
      </w:r>
      <w:r>
        <w:t xml:space="preserve"> </w:t>
      </w:r>
      <w:r>
        <w:t xml:space="preserve">driven by the sum of PV alpha components that don’t depend on funding source — the rate-arbitrage Core (spread on converted principal), the IRMAA / Medicare alpha (not decomposed here), and the RMD tax-drag alpha (drag avoided on the RMDs the conversion eliminates). Each follows from the conversion event itself, not from how the tax is paid. Convert if the sum is PV-positive.</w:t>
      </w:r>
    </w:p>
    <w:p>
      <w:pPr>
        <w:numPr>
          <w:ilvl w:val="0"/>
          <w:numId w:val="1005"/>
        </w:numPr>
      </w:pPr>
      <w:r>
        <w:rPr>
          <w:b/>
          <w:bCs/>
        </w:rPr>
        <w:t xml:space="preserve">Funding (Inside vs Outside), conditional on conversion:</w:t>
      </w:r>
      <w:r>
        <w:t xml:space="preserve"> </w:t>
      </w:r>
      <w:r>
        <w:t xml:space="preserve">Outside relocates</w:t>
      </w:r>
      <w:r>
        <w:t xml:space="preserve"> </w:t>
      </w:r>
      <m:oMath>
        <m:r>
          <m:t>K</m:t>
        </m:r>
      </m:oMath>
      <w:r>
        <w:t xml:space="preserve"> </w:t>
      </w:r>
      <w:r>
        <w:t xml:space="preserve">from a taxable wrapper compounding at</w:t>
      </w:r>
      <w:r>
        <w:t xml:space="preserve"> </w:t>
      </w:r>
      <m:oMath>
        <m:sSub>
          <m:e>
            <m:r>
              <m:t>r</m:t>
            </m:r>
          </m:e>
          <m:sub>
            <m:r>
              <m:t>d</m:t>
            </m:r>
          </m:sub>
        </m:sSub>
      </m:oMath>
      <w:r>
        <w:t xml:space="preserve"> </w:t>
      </w:r>
      <w:r>
        <w:t xml:space="preserve">to a tax-free wrapper compounding at</w:t>
      </w:r>
      <w:r>
        <w:t xml:space="preserve"> </w:t>
      </w:r>
      <m:oMath>
        <m:r>
          <m:t>r</m:t>
        </m:r>
      </m:oMath>
      <w:r>
        <w:t xml:space="preserve"> </w:t>
      </w:r>
      <w:r>
        <w:t xml:space="preserve">— turning the conversion tax from a cost into an investment. The payoff is the tax-drag-avoidance alpha of §6 ($1,021 PV in the Outside RMD scenario), added to the conversion alpha sum to give total Outside-conversion alpha.</w:t>
      </w:r>
    </w:p>
    <w:p>
      <w:pPr>
        <w:pStyle w:val="FirstParagraph"/>
      </w:pPr>
      <w:r>
        <w:t xml:space="preserve">The SRC has no independent existence: it materializes only as a side effect of choosing Outside funding for an already-decided conversion.</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3"/>
    <w:bookmarkStart w:id="34"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6"/>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6"/>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6"/>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w:t>
      </w:r>
    </w:p>
    <w:p>
      <w:pPr>
        <w:numPr>
          <w:ilvl w:val="0"/>
          <w:numId w:val="1006"/>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the tax-drag differential between Roth and taxable wrappers — the channel that compounds the SRC’s</w:t>
      </w:r>
      <w:r>
        <w:t xml:space="preserve"> </w:t>
      </w:r>
      <m:oMath>
        <m:r>
          <m:t>K</m:t>
        </m:r>
      </m:oMath>
      <w:r>
        <w:t xml:space="preserve"> </w:t>
      </w:r>
      <w:r>
        <w:t xml:space="preserve">dollars at</w:t>
      </w:r>
      <w:r>
        <w:t xml:space="preserve"> </w:t>
      </w:r>
      <m:oMath>
        <m:r>
          <m:t>r</m:t>
        </m:r>
      </m:oMath>
      <w:r>
        <w:t xml:space="preserve"> </w:t>
      </w:r>
      <w:r>
        <w:t xml:space="preserve">instead of</w:t>
      </w:r>
      <w:r>
        <w:t xml:space="preserve"> </w:t>
      </w:r>
      <m:oMath>
        <m:sSub>
          <m:e>
            <m:r>
              <m:t>r</m:t>
            </m:r>
          </m:e>
          <m:sub>
            <m:r>
              <m:t>d</m:t>
            </m:r>
          </m:sub>
        </m:sSub>
      </m:oMath>
      <w:r>
        <w:t xml:space="preserve"> </w:t>
      </w:r>
      <w:r>
        <w:t xml:space="preserve">over the post-conversion horizon.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4"/>
    <w:bookmarkStart w:id="35"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35"/>
    <w:bookmarkStart w:id="38" w:name="X1fb9906062232a1c9ed64da0711341d859c89e8"/>
    <w:p>
      <w:pPr>
        <w:pStyle w:val="Heading2"/>
      </w:pPr>
      <w:r>
        <w:t xml:space="preserve">Appendix A: Selected Values from All Four Scenarios</w:t>
      </w:r>
    </w:p>
    <w:bookmarkStart w:id="36"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36"/>
    <w:bookmarkStart w:id="37"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7"/>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7"/>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7"/>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7"/>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7"/>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7"/>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7"/>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2026-05-15T11:25:03Z</dcterms:created>
  <dcterms:modified xsi:type="dcterms:W3CDTF">2026-05-15T11:25:03Z</dcterms:modified>
</cp:coreProperties>
</file>

<file path=docProps/custom.xml><?xml version="1.0" encoding="utf-8"?>
<Properties xmlns="http://schemas.openxmlformats.org/officeDocument/2006/custom-properties" xmlns:vt="http://schemas.openxmlformats.org/officeDocument/2006/docPropsVTypes"/>
</file>