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rate</w:t>
      </w:r>
      <w:r>
        <w:t xml:space="preserve"> </w:t>
      </w:r>
      <m:oMath>
        <m:sSub>
          <m:e>
            <m:r>
              <m:t>t</m:t>
            </m:r>
          </m:e>
          <m:sub>
            <m:r>
              <m:t>C</m:t>
            </m:r>
          </m:sub>
        </m:sSub>
      </m:oMath>
      <w:r>
        <w:t xml:space="preserve"> </w:t>
      </w:r>
      <w:r>
        <w:t xml:space="preserve">and the future distribution-year rate</w:t>
      </w:r>
      <w:r>
        <w:t xml:space="preserve"> </w:t>
      </w:r>
      <m:oMath>
        <m:sSub>
          <m:e>
            <m:r>
              <m:t>t</m:t>
            </m:r>
          </m:e>
          <m:sub>
            <m:r>
              <m:t>D</m:t>
            </m:r>
          </m:sub>
        </m:sSub>
      </m:oMath>
      <w:r>
        <w:t xml:space="preserve">. This framing is incomplete. When the conversion tax is paid from outside the retirement account, dollars equivalent to the conversion tax migrate from a taxable wrapper into a tax-free wrapper, where they grow free of income tax for the life of the account and any beneficiaries. We name this effect the</w:t>
      </w:r>
      <w:r>
        <w:t xml:space="preserve"> </w:t>
      </w:r>
      <w:r>
        <w:rPr>
          <w:b/>
          <w:bCs/>
        </w:rPr>
        <w:t xml:space="preserve">Synthetic Roth Contribution</w:t>
      </w:r>
      <w:r>
        <w:t xml:space="preserve"> </w:t>
      </w:r>
      <w:r>
        <w:t xml:space="preserve">(SRC). The SRC framework was introduced in Cheshire (2025, SSRN 5205840), which established the concept and decomposed conversion-tax payback into SRC plus tax-rate-arbitrage components. The present paper formalizes the SRC as a separable component with its own per-year IRR / PV / FV identity, distinct from the rate-arbitrage Core, the Medicare-surcharge-reduction alpha, and the RMD tax-drag alpha.</w:t>
      </w:r>
    </w:p>
    <w:p>
      <w:pPr>
        <w:pStyle w:val="BodyText"/>
      </w:pPr>
      <w:r>
        <w:t xml:space="preserve">We prove the SRC’s central result four independent ways: (1) algebraically, via the annuity-payment / present-value identity, showing that 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exactly $1,695.86 in all 20 distribution years, matching the algebraic prediction to the cent; (3) empirically under RMD distributions, where the per-year increment varies but integrates in PV to within 4 cents of the conversion tax over the 30-year horizon; and (4) decompositionally, showing that the end-of-life wealth difference between Outside and Inside paths cannot be reconciled without including the SRC term. The SRC’s lasting economic value emerges through the tax-drag-differential channel: SRC dollars compound at the Roth’s tax-free rate</w:t>
      </w:r>
      <w:r>
        <w:t xml:space="preserve"> </w:t>
      </w:r>
      <m:oMath>
        <m:r>
          <m:t>r</m:t>
        </m:r>
      </m:oMath>
      <w:r>
        <w:t xml:space="preserve"> </w:t>
      </w:r>
      <w:r>
        <w:t xml:space="preserve">instead of the taxable wrapper’s after-drag rate</w:t>
      </w:r>
      <w:r>
        <w:t xml:space="preserve"> </w:t>
      </w:r>
      <m:oMath>
        <m:sSub>
          <m:e>
            <m:r>
              <m:t>r</m:t>
            </m:r>
          </m:e>
          <m:sub>
            <m:r>
              <m:t>d</m:t>
            </m:r>
          </m:sub>
        </m:sSub>
      </m:oMath>
      <w:r>
        <w:t xml:space="preserve">. 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2026-05-15T15:54:21Z</dcterms:created>
  <dcterms:modified xsi:type="dcterms:W3CDTF">2026-05-15T15:54:21Z</dcterms:modified>
</cp:coreProperties>
</file>

<file path=docProps/custom.xml><?xml version="1.0" encoding="utf-8"?>
<Properties xmlns="http://schemas.openxmlformats.org/officeDocument/2006/custom-properties" xmlns:vt="http://schemas.openxmlformats.org/officeDocument/2006/docPropsVTypes"/>
</file>