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of these imposes a cost.</w:t>
      </w:r>
    </w:p>
    <w:p>
      <w:pPr>
        <w:pStyle w:val="BodyText"/>
      </w:pPr>
      <w:r>
        <w:t xml:space="preserve">The SRC framework’s</w:t>
      </w:r>
      <w:r>
        <w:t xml:space="preserve"> </w:t>
      </w:r>
      <w:r>
        <w:t xml:space="preserve">“no cost”</w:t>
      </w:r>
      <w:r>
        <w:t xml:space="preserve"> </w:t>
      </w:r>
      <w:r>
        <w:t xml:space="preserve">claim is therefore not a special exception for Roth conversions; it is the application of a general principle of wrapper migration neutrality.</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2026-05-14T15:48:08Z</dcterms:created>
  <dcterms:modified xsi:type="dcterms:W3CDTF">2026-05-14T15:48:08Z</dcterms:modified>
</cp:coreProperties>
</file>

<file path=docProps/custom.xml><?xml version="1.0" encoding="utf-8"?>
<Properties xmlns="http://schemas.openxmlformats.org/officeDocument/2006/custom-properties" xmlns:vt="http://schemas.openxmlformats.org/officeDocument/2006/docPropsVTypes"/>
</file>