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IRMAA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Cross-validation against the year-by-year sum.</w:t>
      </w:r>
      <w:r>
        <w:t xml:space="preserve"> </w:t>
      </w:r>
      <w:r>
        <w:t xml:space="preserve">The closed-form lifetime nominal payout of $71,229.59 matches the §5B.2 table’s year-by-year nominal sum of (Outside − Inside) ΔATCF of $71,229.46 to within $0.13. Two independent computational paths — the multiplier formula and the empirical year-stream sum — converge to the same dollar amount. This is what §5B.4 demonstrates: cross-validation of the multiplier-based output against an independent empirical sum.</w:t>
      </w:r>
    </w:p>
    <w:p>
      <w:pPr>
        <w:pStyle w:val="BodyText"/>
      </w:pPr>
      <w:r>
        <w:rPr>
          <w:b/>
          <w:bCs/>
        </w:rPr>
        <w:t xml:space="preserve">Comparison to FA.</w:t>
      </w:r>
      <w:r>
        <w:t xml:space="preserve"> </w:t>
      </w:r>
      <w:r>
        <w:t xml:space="preserve">For the Outside FA scenario, the lifetime nominal payout = $17,966 × 1.88786 = $33,917.27, with the FA annuity-factor multiple of 1.88786 playing the structural role of the payout multiple under FA distribution. The RMD multiplier (3.9647) exceeds the FA multiplier (1.88786) by ~2.1× because RMD’s effective compounding horizon extends 10 years past the owner-only 20-year FA horizon (into the beneficiary period — see §5B.5). This empirical observation reinforces §6.2’s claim that the SRC’s largest practical value channel is its compounding through the inheritance period — visible under RMD method but absent under FA.</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2026-05-14T22:16:58Z</dcterms:created>
  <dcterms:modified xsi:type="dcterms:W3CDTF">2026-05-14T22:16:58Z</dcterms:modified>
</cp:coreProperties>
</file>

<file path=docProps/custom.xml><?xml version="1.0" encoding="utf-8"?>
<Properties xmlns="http://schemas.openxmlformats.org/officeDocument/2006/custom-properties" xmlns:vt="http://schemas.openxmlformats.org/officeDocument/2006/docPropsVTypes"/>
</file>