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IRMAA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2"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is computed first and serves as the benchmark.</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The same</w:t>
      </w:r>
      <w:r>
        <w:t xml:space="preserve"> </w:t>
      </w:r>
      <m:oMath>
        <m:r>
          <m:t>K</m:t>
        </m:r>
      </m:oMath>
      <w:r>
        <w:t xml:space="preserve"> </w:t>
      </w:r>
      <w:r>
        <w:t xml:space="preserve">= $17,966 distributed via FA over 20 years would yield a lifetime nominal payout of $17,966 × 1.88786 = $33,917.27. RMD’s multiplier exceeds FA’s by ~2.1× because RMD distributes over 30 years instead of 20, giving</w:t>
      </w:r>
      <w:r>
        <w:t xml:space="preserve"> </w:t>
      </w:r>
      <m:oMath>
        <m:r>
          <m:t>K</m:t>
        </m:r>
      </m:oMath>
      <w:r>
        <w:t xml:space="preserve"> </w:t>
      </w:r>
      <w:r>
        <w:t xml:space="preserve">more years of tax-free compounding before full distribution. Both methods produce the same PV at the portfolio rate (zero, by §4’s identity); only nominal cash flow differs.</w:t>
      </w:r>
    </w:p>
    <w:bookmarkEnd w:id="30"/>
    <w:bookmarkStart w:id="31"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4"/>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4"/>
        </w:numPr>
      </w:pPr>
      <w:r>
        <w:t xml:space="preserve">This $15,951 represents the household receiving back $1,696/year for 20 years (= $33,920 nominal) on a $17,966 outflow at year 0</w:t>
      </w:r>
    </w:p>
    <w:p>
      <w:pPr>
        <w:pStyle w:val="Compact"/>
        <w:numPr>
          <w:ilvl w:val="0"/>
          <w:numId w:val="1004"/>
        </w:numPr>
      </w:pPr>
      <w:r>
        <w:t xml:space="preserve">Net nominal: $33,920 − $17,966 = $15,954 (rounding-equivalent to the table’s $15,951)</w:t>
      </w:r>
    </w:p>
    <w:p>
      <w:pPr>
        <w:pStyle w:val="Compact"/>
        <w:numPr>
          <w:ilvl w:val="0"/>
          <w:numId w:val="1004"/>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1"/>
    <w:bookmarkEnd w:id="32"/>
    <w:bookmarkStart w:id="36"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3"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3"/>
    <w:bookmarkStart w:id="34"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Empirical evidence for this channel emerges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4"/>
    <w:bookmarkStart w:id="35"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5"/>
    <w:bookmarkEnd w:id="36"/>
    <w:bookmarkStart w:id="37"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6"/>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6"/>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7"/>
    <w:bookmarkStart w:id="38"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8"/>
    <w:bookmarkStart w:id="39"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39"/>
    <w:bookmarkStart w:id="42" w:name="X1fb9906062232a1c9ed64da0711341d859c89e8"/>
    <w:p>
      <w:pPr>
        <w:pStyle w:val="Heading2"/>
      </w:pPr>
      <w:r>
        <w:t xml:space="preserve">Appendix A: Selected Values from All Four Scenarios</w:t>
      </w:r>
    </w:p>
    <w:bookmarkStart w:id="40"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0"/>
    <w:bookmarkStart w:id="41"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8"/>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8"/>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2026-05-14T23:16:01Z</dcterms:created>
  <dcterms:modified xsi:type="dcterms:W3CDTF">2026-05-14T23:16:01Z</dcterms:modified>
</cp:coreProperties>
</file>

<file path=docProps/custom.xml><?xml version="1.0" encoding="utf-8"?>
<Properties xmlns="http://schemas.openxmlformats.org/officeDocument/2006/custom-properties" xmlns:vt="http://schemas.openxmlformats.org/officeDocument/2006/docPropsVTypes"/>
</file>