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Holding</w:t>
      </w:r>
      <w:r>
        <w:t xml:space="preserve"> </w:t>
      </w:r>
      <m:oMath>
        <m:r>
          <m:t>K</m:t>
        </m:r>
        <m:r>
          <m:rPr>
            <m:sty m:val="p"/>
          </m:rPr>
          <m:t>=</m:t>
        </m:r>
        <m:r>
          <m:rPr>
            <m:sty m:val="p"/>
          </m:rPr>
          <m:t>$</m:t>
        </m:r>
        <m:r>
          <m:t>17</m:t>
        </m:r>
        <m:r>
          <m:rPr>
            <m:sty m:val="p"/>
          </m:rPr>
          <m:t>,</m:t>
        </m:r>
        <m:r>
          <m:t>966</m:t>
        </m:r>
      </m:oMath>
      <w:r>
        <w:t xml:space="preserve"> </w:t>
      </w:r>
      <w:r>
        <w:t xml:space="preserve">constant, if these same SRC dollars distributed via FA over 20 years instead of RMD, the lifetime nominal payout would be $17,966 × 1.88786 = $33,917.27. The RMD multiplier (3.9647) exceeds the FA multiplier (1.88786) by ~2.1× because RMD’s distribution horizon is longer (30 years vs 20 for FA): the</w:t>
      </w:r>
      <w:r>
        <w:t xml:space="preserve"> </w:t>
      </w:r>
      <m:oMath>
        <m:r>
          <m:t>K</m:t>
        </m:r>
      </m:oMath>
      <w:r>
        <w:t xml:space="preserve"> </w:t>
      </w:r>
      <w:r>
        <w:t xml:space="preserve">dollars compound more years inside the Roth before being fully distributed, producing larger nominal cash flows over the longer horizon. In PV terms at the portfolio rate, both methods produce the same SRC value of zero by §4’s identity — the difference is purely in nominal lifetime cash flow, not in SRC economic value.</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2026-05-14T22:48:47Z</dcterms:created>
  <dcterms:modified xsi:type="dcterms:W3CDTF">2026-05-14T22:48:47Z</dcterms:modified>
</cp:coreProperties>
</file>

<file path=docProps/custom.xml><?xml version="1.0" encoding="utf-8"?>
<Properties xmlns="http://schemas.openxmlformats.org/officeDocument/2006/custom-properties" xmlns:vt="http://schemas.openxmlformats.org/officeDocument/2006/docPropsVTypes"/>
</file>