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0C5498" w14:textId="416F81BA" w:rsidR="00F464DD" w:rsidRPr="00F464DD" w:rsidRDefault="00F464DD" w:rsidP="00F464DD">
      <w:r w:rsidRPr="00F464DD">
        <w:rPr>
          <w:b/>
          <w:bCs/>
        </w:rPr>
        <w:t>A Stochastic Approach to Portfolio Risk Quantification</w:t>
      </w:r>
    </w:p>
    <w:p w14:paraId="26163A31" w14:textId="1E063905" w:rsidR="00F464DD" w:rsidRPr="00F464DD" w:rsidRDefault="00F464DD" w:rsidP="00F464DD">
      <w:pPr>
        <w:rPr>
          <w:b/>
          <w:bCs/>
        </w:rPr>
      </w:pPr>
      <w:r w:rsidRPr="00F464DD">
        <w:rPr>
          <w:b/>
          <w:bCs/>
        </w:rPr>
        <w:t xml:space="preserve">Introduction to Portfolio Risk </w:t>
      </w:r>
    </w:p>
    <w:p w14:paraId="3DC334A8" w14:textId="77777777" w:rsidR="00F464DD" w:rsidRPr="00F464DD" w:rsidRDefault="00F464DD" w:rsidP="00F464DD">
      <w:r w:rsidRPr="00F464DD">
        <w:t xml:space="preserve">In financial markets, </w:t>
      </w:r>
      <w:r w:rsidRPr="00F464DD">
        <w:rPr>
          <w:b/>
          <w:bCs/>
        </w:rPr>
        <w:t>portfolio risk</w:t>
      </w:r>
      <w:r w:rsidRPr="00F464DD">
        <w:t xml:space="preserve"> refers to the probability that an investment's actual return will differ from its expected return. This includes the possibility of losing some or </w:t>
      </w:r>
      <w:proofErr w:type="gramStart"/>
      <w:r w:rsidRPr="00F464DD">
        <w:t>all of</w:t>
      </w:r>
      <w:proofErr w:type="gramEnd"/>
      <w:r w:rsidRPr="00F464DD">
        <w:t xml:space="preserve"> the initial investment. For financial institutions and individual investors alike, understanding and quantifying this risk is not just a theoretical exercise but a critical component of sound capital management and regulatory compliance. Traditional risk measures often fall short of capturing the complex, dynamic nature of asset price movements. Consequently, more sophisticated quantitative methods, rooted in stochastic calculus, have become indispensable tools for modern risk management. This report explores the application of stochastic models, specifically through Monte Carlo simulations, to estimate key portfolio risk metrics.</w:t>
      </w:r>
    </w:p>
    <w:p w14:paraId="04C7D61E" w14:textId="77777777" w:rsidR="00F464DD" w:rsidRPr="00F464DD" w:rsidRDefault="00F464DD" w:rsidP="00F464DD">
      <w:r w:rsidRPr="00F464DD">
        <w:pict w14:anchorId="2B321C63">
          <v:rect id="_x0000_i1043" style="width:0;height:1.5pt" o:hralign="center" o:hrstd="t" o:hrnoshade="t" o:hr="t" fillcolor="#1b1c1d" stroked="f"/>
        </w:pict>
      </w:r>
    </w:p>
    <w:p w14:paraId="016E0283" w14:textId="5EB9EEAD" w:rsidR="00F464DD" w:rsidRPr="00F464DD" w:rsidRDefault="00F464DD" w:rsidP="00F464DD">
      <w:pPr>
        <w:rPr>
          <w:b/>
          <w:bCs/>
        </w:rPr>
      </w:pPr>
      <w:r w:rsidRPr="00F464DD">
        <w:rPr>
          <w:b/>
          <w:bCs/>
        </w:rPr>
        <w:t xml:space="preserve">Models and Methodology </w:t>
      </w:r>
    </w:p>
    <w:p w14:paraId="7463053F" w14:textId="77777777" w:rsidR="00F464DD" w:rsidRPr="00F464DD" w:rsidRDefault="00F464DD" w:rsidP="00F464DD">
      <w:r w:rsidRPr="00F464DD">
        <w:t xml:space="preserve">To model the inherent uncertainty of financial markets, we employ a class of mathematical models known as </w:t>
      </w:r>
      <w:r w:rsidRPr="00F464DD">
        <w:rPr>
          <w:b/>
          <w:bCs/>
        </w:rPr>
        <w:t>Stochastic Differential Equations (SDEs)</w:t>
      </w:r>
      <w:r w:rsidRPr="00F464DD">
        <w:t xml:space="preserve">. These equations are adept at describing the evolution of systems that behave randomly over time, making them ideal for </w:t>
      </w:r>
      <w:proofErr w:type="spellStart"/>
      <w:r w:rsidRPr="00F464DD">
        <w:t>modeling</w:t>
      </w:r>
      <w:proofErr w:type="spellEnd"/>
      <w:r w:rsidRPr="00F464DD">
        <w:t xml:space="preserve"> asset prices.</w:t>
      </w:r>
    </w:p>
    <w:p w14:paraId="15CD41CB" w14:textId="77777777" w:rsidR="00F464DD" w:rsidRPr="00F464DD" w:rsidRDefault="00F464DD" w:rsidP="00F464DD">
      <w:pPr>
        <w:rPr>
          <w:b/>
          <w:bCs/>
        </w:rPr>
      </w:pPr>
      <w:r w:rsidRPr="00F464DD">
        <w:rPr>
          <w:b/>
          <w:bCs/>
        </w:rPr>
        <w:t>Geometric Brownian Motion (GBM)</w:t>
      </w:r>
    </w:p>
    <w:p w14:paraId="7E61CA28" w14:textId="77777777" w:rsidR="00F464DD" w:rsidRPr="00F464DD" w:rsidRDefault="00F464DD" w:rsidP="00F464DD">
      <w:r w:rsidRPr="00F464DD">
        <w:t xml:space="preserve">The foundational model used in this analysis is the </w:t>
      </w:r>
      <w:r w:rsidRPr="00F464DD">
        <w:rPr>
          <w:b/>
          <w:bCs/>
        </w:rPr>
        <w:t>Geometric Brownian Motion (GBM)</w:t>
      </w:r>
      <w:r w:rsidRPr="00F464DD">
        <w:t>. It's a widely used SDE that assumes stock prices follow a random walk. The GBM model is defined by the following equation:</w:t>
      </w:r>
    </w:p>
    <w:p w14:paraId="08955054" w14:textId="77777777" w:rsidR="00F464DD" w:rsidRPr="00F464DD" w:rsidRDefault="00F464DD" w:rsidP="00F464DD">
      <w:proofErr w:type="spellStart"/>
      <w:r w:rsidRPr="00F464DD">
        <w:t>dSt</w:t>
      </w:r>
      <w:proofErr w:type="spellEnd"/>
      <w:r w:rsidRPr="00F464DD">
        <w:rPr>
          <w:rFonts w:ascii="Arial" w:hAnsi="Arial" w:cs="Arial"/>
        </w:rPr>
        <w:t>​</w:t>
      </w:r>
      <w:r w:rsidRPr="00F464DD">
        <w:t>=</w:t>
      </w:r>
      <w:proofErr w:type="spellStart"/>
      <w:r w:rsidRPr="00F464DD">
        <w:t>μSt</w:t>
      </w:r>
      <w:proofErr w:type="spellEnd"/>
      <w:r w:rsidRPr="00F464DD">
        <w:rPr>
          <w:rFonts w:ascii="Arial" w:hAnsi="Arial" w:cs="Arial"/>
        </w:rPr>
        <w:t>​</w:t>
      </w:r>
      <w:proofErr w:type="spellStart"/>
      <w:r w:rsidRPr="00F464DD">
        <w:t>dt+σSt</w:t>
      </w:r>
      <w:proofErr w:type="spellEnd"/>
      <w:r w:rsidRPr="00F464DD">
        <w:rPr>
          <w:rFonts w:ascii="Arial" w:hAnsi="Arial" w:cs="Arial"/>
        </w:rPr>
        <w:t>​</w:t>
      </w:r>
      <w:proofErr w:type="spellStart"/>
      <w:r w:rsidRPr="00F464DD">
        <w:t>dWt</w:t>
      </w:r>
      <w:proofErr w:type="spellEnd"/>
      <w:r w:rsidRPr="00F464DD">
        <w:rPr>
          <w:rFonts w:ascii="Arial" w:hAnsi="Arial" w:cs="Arial"/>
        </w:rPr>
        <w:t>​</w:t>
      </w:r>
    </w:p>
    <w:p w14:paraId="63375A4A" w14:textId="77777777" w:rsidR="00F464DD" w:rsidRPr="00F464DD" w:rsidRDefault="00F464DD" w:rsidP="00F464DD">
      <w:r w:rsidRPr="00F464DD">
        <w:t>where:</w:t>
      </w:r>
    </w:p>
    <w:p w14:paraId="5D8FB66D" w14:textId="77777777" w:rsidR="00F464DD" w:rsidRPr="00F464DD" w:rsidRDefault="00F464DD" w:rsidP="00F464DD">
      <w:pPr>
        <w:numPr>
          <w:ilvl w:val="0"/>
          <w:numId w:val="1"/>
        </w:numPr>
      </w:pPr>
      <w:r w:rsidRPr="00F464DD">
        <w:t>St</w:t>
      </w:r>
      <w:r w:rsidRPr="00F464DD">
        <w:rPr>
          <w:rFonts w:ascii="Arial" w:hAnsi="Arial" w:cs="Arial"/>
        </w:rPr>
        <w:t>​</w:t>
      </w:r>
      <w:r w:rsidRPr="00F464DD">
        <w:t xml:space="preserve"> is the asset price at time t.</w:t>
      </w:r>
    </w:p>
    <w:p w14:paraId="6D5662DD" w14:textId="77777777" w:rsidR="00F464DD" w:rsidRPr="00F464DD" w:rsidRDefault="00F464DD" w:rsidP="00F464DD">
      <w:pPr>
        <w:numPr>
          <w:ilvl w:val="0"/>
          <w:numId w:val="1"/>
        </w:numPr>
      </w:pPr>
      <w:r w:rsidRPr="00F464DD">
        <w:t>μ (mu) is the constant drift, representing the expected return of the asset.</w:t>
      </w:r>
    </w:p>
    <w:p w14:paraId="261BAE60" w14:textId="77777777" w:rsidR="00F464DD" w:rsidRPr="00F464DD" w:rsidRDefault="00F464DD" w:rsidP="00F464DD">
      <w:pPr>
        <w:numPr>
          <w:ilvl w:val="0"/>
          <w:numId w:val="1"/>
        </w:numPr>
      </w:pPr>
      <w:r w:rsidRPr="00F464DD">
        <w:t>σ (sigma) is the constant volatility, representing the standard deviation of the asset's returns.</w:t>
      </w:r>
    </w:p>
    <w:p w14:paraId="0EFD568B" w14:textId="77777777" w:rsidR="00F464DD" w:rsidRPr="00F464DD" w:rsidRDefault="00F464DD" w:rsidP="00F464DD">
      <w:pPr>
        <w:numPr>
          <w:ilvl w:val="0"/>
          <w:numId w:val="1"/>
        </w:numPr>
      </w:pPr>
      <w:r w:rsidRPr="00F464DD">
        <w:t>dt is an infinitesimal time interval.</w:t>
      </w:r>
    </w:p>
    <w:p w14:paraId="27EDD8C8" w14:textId="77777777" w:rsidR="00F464DD" w:rsidRPr="00F464DD" w:rsidRDefault="00F464DD" w:rsidP="00F464DD">
      <w:pPr>
        <w:numPr>
          <w:ilvl w:val="0"/>
          <w:numId w:val="1"/>
        </w:numPr>
      </w:pPr>
      <w:proofErr w:type="spellStart"/>
      <w:r w:rsidRPr="00F464DD">
        <w:t>dWt</w:t>
      </w:r>
      <w:proofErr w:type="spellEnd"/>
      <w:r w:rsidRPr="00F464DD">
        <w:rPr>
          <w:rFonts w:ascii="Arial" w:hAnsi="Arial" w:cs="Arial"/>
        </w:rPr>
        <w:t>​</w:t>
      </w:r>
      <w:r w:rsidRPr="00F464DD">
        <w:t xml:space="preserve"> is a Wiener process or Brownian motion, which introduces the element of randomness.</w:t>
      </w:r>
    </w:p>
    <w:p w14:paraId="6AA232AA" w14:textId="77777777" w:rsidR="00F464DD" w:rsidRPr="00F464DD" w:rsidRDefault="00F464DD" w:rsidP="00F464DD">
      <w:r w:rsidRPr="00F464DD">
        <w:t>A key assumption of GBM is that the logarithmic returns of the asset are normally distributed and that both drift and volatility remain constant over the simulation period.</w:t>
      </w:r>
    </w:p>
    <w:p w14:paraId="6B7EA4EF" w14:textId="77777777" w:rsidR="00F464DD" w:rsidRPr="00F464DD" w:rsidRDefault="00F464DD" w:rsidP="00F464DD">
      <w:pPr>
        <w:rPr>
          <w:b/>
          <w:bCs/>
        </w:rPr>
      </w:pPr>
      <w:r w:rsidRPr="00F464DD">
        <w:rPr>
          <w:b/>
          <w:bCs/>
        </w:rPr>
        <w:lastRenderedPageBreak/>
        <w:t>Monte Carlo Simulation</w:t>
      </w:r>
    </w:p>
    <w:p w14:paraId="748A445B" w14:textId="77777777" w:rsidR="00F464DD" w:rsidRPr="00F464DD" w:rsidRDefault="00F464DD" w:rsidP="00F464DD">
      <w:r w:rsidRPr="00F464DD">
        <w:t xml:space="preserve">With the GBM model defining the </w:t>
      </w:r>
      <w:proofErr w:type="spellStart"/>
      <w:r w:rsidRPr="00F464DD">
        <w:t>behavior</w:t>
      </w:r>
      <w:proofErr w:type="spellEnd"/>
      <w:r w:rsidRPr="00F464DD">
        <w:t xml:space="preserve"> of a single asset, a </w:t>
      </w:r>
      <w:r w:rsidRPr="00F464DD">
        <w:rPr>
          <w:b/>
          <w:bCs/>
        </w:rPr>
        <w:t>Monte Carlo simulation</w:t>
      </w:r>
      <w:r w:rsidRPr="00F464DD">
        <w:t xml:space="preserve"> is used to forecast the potential range of future portfolio values. This computational technique involves generating thousands of random price paths for each asset in the portfolio based on the GBM equation. By simulating </w:t>
      </w:r>
      <w:proofErr w:type="gramStart"/>
      <w:r w:rsidRPr="00F464DD">
        <w:t>a large number of</w:t>
      </w:r>
      <w:proofErr w:type="gramEnd"/>
      <w:r w:rsidRPr="00F464DD">
        <w:t xml:space="preserve"> potential futures, we can construct a probability distribution of the portfolio's value at a specific time horizon, which forms the basis for our risk analysis.</w:t>
      </w:r>
    </w:p>
    <w:p w14:paraId="776D47AC" w14:textId="77777777" w:rsidR="00F464DD" w:rsidRPr="00F464DD" w:rsidRDefault="00F464DD" w:rsidP="00F464DD">
      <w:pPr>
        <w:rPr>
          <w:b/>
          <w:bCs/>
        </w:rPr>
      </w:pPr>
      <w:r w:rsidRPr="00F464DD">
        <w:rPr>
          <w:b/>
          <w:bCs/>
        </w:rPr>
        <w:t>Heston Model</w:t>
      </w:r>
    </w:p>
    <w:p w14:paraId="366391FD" w14:textId="77777777" w:rsidR="00F464DD" w:rsidRPr="00F464DD" w:rsidRDefault="00F464DD" w:rsidP="00F464DD">
      <w:r w:rsidRPr="00F464DD">
        <w:t xml:space="preserve">While GBM is a powerful starting point, its assumption of constant volatility is a known limitation. Real-world markets exhibit </w:t>
      </w:r>
      <w:r w:rsidRPr="00F464DD">
        <w:rPr>
          <w:b/>
          <w:bCs/>
        </w:rPr>
        <w:t>volatility clustering</w:t>
      </w:r>
      <w:r w:rsidRPr="00F464DD">
        <w:t xml:space="preserve">, where periods of high volatility are followed by more high volatility, and vice versa. The </w:t>
      </w:r>
      <w:r w:rsidRPr="00F464DD">
        <w:rPr>
          <w:b/>
          <w:bCs/>
        </w:rPr>
        <w:t>Heston model</w:t>
      </w:r>
      <w:r w:rsidRPr="00F464DD">
        <w:t xml:space="preserve"> addresses this by introducing stochastic volatility, allowing the σ term to vary randomly over time according to its own SDE. This creates a more realistic simulation that can better capture sudden market shocks and "fat-tailed" return distributions.</w:t>
      </w:r>
    </w:p>
    <w:p w14:paraId="24E45E2B" w14:textId="77777777" w:rsidR="00F464DD" w:rsidRPr="00F464DD" w:rsidRDefault="00F464DD" w:rsidP="00F464DD">
      <w:r w:rsidRPr="00F464DD">
        <w:pict w14:anchorId="3C77DB0E">
          <v:rect id="_x0000_i1044" style="width:0;height:1.5pt" o:hralign="center" o:hrstd="t" o:hrnoshade="t" o:hr="t" fillcolor="#1b1c1d" stroked="f"/>
        </w:pict>
      </w:r>
    </w:p>
    <w:p w14:paraId="67FD677E" w14:textId="1F8C26D1" w:rsidR="00F464DD" w:rsidRPr="00F464DD" w:rsidRDefault="00F464DD" w:rsidP="00F464DD">
      <w:pPr>
        <w:rPr>
          <w:b/>
          <w:bCs/>
        </w:rPr>
      </w:pPr>
      <w:r w:rsidRPr="00F464DD">
        <w:rPr>
          <w:b/>
          <w:bCs/>
        </w:rPr>
        <w:t xml:space="preserve">Results and Analysis </w:t>
      </w:r>
    </w:p>
    <w:p w14:paraId="7F783EBC" w14:textId="77777777" w:rsidR="00F464DD" w:rsidRPr="00F464DD" w:rsidRDefault="00F464DD" w:rsidP="00F464DD">
      <w:r w:rsidRPr="00F464DD">
        <w:t>The output of the Monte Carlo simulation is a distribution of potential portfolio values. From this distribution, we can calculate crucial risk metrics.</w:t>
      </w:r>
    </w:p>
    <w:p w14:paraId="430BBD10" w14:textId="77777777" w:rsidR="00F464DD" w:rsidRPr="00F464DD" w:rsidRDefault="00F464DD" w:rsidP="00F464DD">
      <w:pPr>
        <w:rPr>
          <w:b/>
          <w:bCs/>
        </w:rPr>
      </w:pPr>
      <w:r w:rsidRPr="00F464DD">
        <w:rPr>
          <w:b/>
          <w:bCs/>
        </w:rPr>
        <w:t>Value at Risk (</w:t>
      </w:r>
      <w:proofErr w:type="spellStart"/>
      <w:r w:rsidRPr="00F464DD">
        <w:rPr>
          <w:b/>
          <w:bCs/>
        </w:rPr>
        <w:t>VaR</w:t>
      </w:r>
      <w:proofErr w:type="spellEnd"/>
      <w:r w:rsidRPr="00F464DD">
        <w:rPr>
          <w:b/>
          <w:bCs/>
        </w:rPr>
        <w:t>) and Expected Shortfall (ES)</w:t>
      </w:r>
    </w:p>
    <w:p w14:paraId="3460F7F0" w14:textId="77777777" w:rsidR="00F464DD" w:rsidRPr="00F464DD" w:rsidRDefault="00F464DD" w:rsidP="00F464DD">
      <w:pPr>
        <w:numPr>
          <w:ilvl w:val="0"/>
          <w:numId w:val="2"/>
        </w:numPr>
      </w:pPr>
      <w:r w:rsidRPr="00F464DD">
        <w:rPr>
          <w:b/>
          <w:bCs/>
        </w:rPr>
        <w:t>Value at Risk (</w:t>
      </w:r>
      <w:proofErr w:type="spellStart"/>
      <w:r w:rsidRPr="00F464DD">
        <w:rPr>
          <w:b/>
          <w:bCs/>
        </w:rPr>
        <w:t>VaR</w:t>
      </w:r>
      <w:proofErr w:type="spellEnd"/>
      <w:r w:rsidRPr="00F464DD">
        <w:rPr>
          <w:b/>
          <w:bCs/>
        </w:rPr>
        <w:t>):</w:t>
      </w:r>
      <w:r w:rsidRPr="00F464DD">
        <w:t xml:space="preserve"> This is one of the most widely used risk metrics in finance. The 99% </w:t>
      </w:r>
      <w:proofErr w:type="spellStart"/>
      <w:r w:rsidRPr="00F464DD">
        <w:t>VaR</w:t>
      </w:r>
      <w:proofErr w:type="spellEnd"/>
      <w:r w:rsidRPr="00F464DD">
        <w:t xml:space="preserve">, for example, represents the maximum potential loss a portfolio is likely to suffer over a specific time horizon, with 99% confidence. It is calculated by identifying the 1st percentile of the simulated portfolio return distribution. While useful, </w:t>
      </w:r>
      <w:proofErr w:type="spellStart"/>
      <w:r w:rsidRPr="00F464DD">
        <w:t>VaR</w:t>
      </w:r>
      <w:proofErr w:type="spellEnd"/>
      <w:r w:rsidRPr="00F464DD">
        <w:t xml:space="preserve"> is often criticized because it provides no information about the magnitude of losses that could occur beyond this threshold.</w:t>
      </w:r>
    </w:p>
    <w:p w14:paraId="071485F6" w14:textId="77777777" w:rsidR="00F464DD" w:rsidRPr="00F464DD" w:rsidRDefault="00F464DD" w:rsidP="00F464DD">
      <w:pPr>
        <w:numPr>
          <w:ilvl w:val="0"/>
          <w:numId w:val="2"/>
        </w:numPr>
      </w:pPr>
      <w:r w:rsidRPr="00F464DD">
        <w:rPr>
          <w:b/>
          <w:bCs/>
        </w:rPr>
        <w:t>Expected Shortfall (ES):</w:t>
      </w:r>
      <w:r w:rsidRPr="00F464DD">
        <w:t xml:space="preserve"> Also known as Conditional </w:t>
      </w:r>
      <w:proofErr w:type="spellStart"/>
      <w:r w:rsidRPr="00F464DD">
        <w:t>VaR</w:t>
      </w:r>
      <w:proofErr w:type="spellEnd"/>
      <w:r w:rsidRPr="00F464DD">
        <w:t xml:space="preserve"> (CVaR), ES addresses the primary shortcoming of </w:t>
      </w:r>
      <w:proofErr w:type="spellStart"/>
      <w:r w:rsidRPr="00F464DD">
        <w:t>VaR.</w:t>
      </w:r>
      <w:proofErr w:type="spellEnd"/>
      <w:r w:rsidRPr="00F464DD">
        <w:t xml:space="preserve"> It calculates the </w:t>
      </w:r>
      <w:r w:rsidRPr="00F464DD">
        <w:rPr>
          <w:b/>
          <w:bCs/>
        </w:rPr>
        <w:t>average loss</w:t>
      </w:r>
      <w:r w:rsidRPr="00F464DD">
        <w:t xml:space="preserve"> in the tail of the distribution beyond the </w:t>
      </w:r>
      <w:proofErr w:type="spellStart"/>
      <w:r w:rsidRPr="00F464DD">
        <w:t>VaR</w:t>
      </w:r>
      <w:proofErr w:type="spellEnd"/>
      <w:r w:rsidRPr="00F464DD">
        <w:t xml:space="preserve"> cutoff. For instance, the 99% ES tells us the expected loss given that the loss has already exceeded the 99% </w:t>
      </w:r>
      <w:proofErr w:type="spellStart"/>
      <w:r w:rsidRPr="00F464DD">
        <w:t>VaR</w:t>
      </w:r>
      <w:proofErr w:type="spellEnd"/>
      <w:r w:rsidRPr="00F464DD">
        <w:t xml:space="preserve"> level. This makes ES a more conservative and comprehensive measure of tail risk.</w:t>
      </w:r>
    </w:p>
    <w:p w14:paraId="3963E4B1" w14:textId="77777777" w:rsidR="00F464DD" w:rsidRPr="00F464DD" w:rsidRDefault="00F464DD" w:rsidP="00F464DD">
      <w:pPr>
        <w:rPr>
          <w:b/>
          <w:bCs/>
        </w:rPr>
      </w:pPr>
      <w:r w:rsidRPr="00F464DD">
        <w:rPr>
          <w:b/>
          <w:bCs/>
        </w:rPr>
        <w:t>Stress Testing</w:t>
      </w:r>
    </w:p>
    <w:p w14:paraId="4849283A" w14:textId="77777777" w:rsidR="00F464DD" w:rsidRPr="00F464DD" w:rsidRDefault="00F464DD" w:rsidP="00F464DD">
      <w:r w:rsidRPr="00F464DD">
        <w:t xml:space="preserve">Beyond probabilistic measures like </w:t>
      </w:r>
      <w:proofErr w:type="spellStart"/>
      <w:r w:rsidRPr="00F464DD">
        <w:t>VaR</w:t>
      </w:r>
      <w:proofErr w:type="spellEnd"/>
      <w:r w:rsidRPr="00F464DD">
        <w:t xml:space="preserve"> and ES, it is crucial to conduct </w:t>
      </w:r>
      <w:r w:rsidRPr="00F464DD">
        <w:rPr>
          <w:b/>
          <w:bCs/>
        </w:rPr>
        <w:t>stress tests</w:t>
      </w:r>
      <w:r w:rsidRPr="00F464DD">
        <w:t xml:space="preserve">. This involves simulating the portfolio's performance under specific, extreme, but plausible market scenarios. Examples include simulating a stock market crash (e.g., a 30% drop in a major index), a sudden spike in interest rates, or a currency crisis. These tests are not based on probabilities but are designed to understand the portfolio's </w:t>
      </w:r>
      <w:r w:rsidRPr="00F464DD">
        <w:lastRenderedPageBreak/>
        <w:t>resilience and identify potential vulnerabilities during periods of severe market dislocation.</w:t>
      </w:r>
    </w:p>
    <w:p w14:paraId="39990F50" w14:textId="77777777" w:rsidR="00F464DD" w:rsidRPr="00F464DD" w:rsidRDefault="00F464DD" w:rsidP="00F464DD">
      <w:r w:rsidRPr="00F464DD">
        <w:pict w14:anchorId="5D1B80CD">
          <v:rect id="_x0000_i1045" style="width:0;height:1.5pt" o:hralign="center" o:hrstd="t" o:hrnoshade="t" o:hr="t" fillcolor="#1b1c1d" stroked="f"/>
        </w:pict>
      </w:r>
    </w:p>
    <w:p w14:paraId="3FED4C86" w14:textId="0D9EC8DB" w:rsidR="00F464DD" w:rsidRPr="00F464DD" w:rsidRDefault="00F464DD" w:rsidP="00F464DD">
      <w:pPr>
        <w:rPr>
          <w:b/>
          <w:bCs/>
        </w:rPr>
      </w:pPr>
      <w:r w:rsidRPr="00F464DD">
        <w:rPr>
          <w:b/>
          <w:bCs/>
        </w:rPr>
        <w:t xml:space="preserve">Conclusion and Future Work </w:t>
      </w:r>
    </w:p>
    <w:p w14:paraId="0D9D9011" w14:textId="77777777" w:rsidR="00F464DD" w:rsidRPr="00F464DD" w:rsidRDefault="00F464DD" w:rsidP="00F464DD">
      <w:r w:rsidRPr="00F464DD">
        <w:t xml:space="preserve">This analysis demonstrates the power of using SDEs and Monte Carlo simulations to move beyond simple risk metrics and gain a deeper, probabilistic understanding of portfolio risk. The calculation of </w:t>
      </w:r>
      <w:proofErr w:type="spellStart"/>
      <w:r w:rsidRPr="00F464DD">
        <w:t>VaR</w:t>
      </w:r>
      <w:proofErr w:type="spellEnd"/>
      <w:r w:rsidRPr="00F464DD">
        <w:t xml:space="preserve"> and ES provides quantitative estimates of potential losses under normal and moderately stressed conditions, which are essential for capital allocation and strategic planning.</w:t>
      </w:r>
    </w:p>
    <w:p w14:paraId="70AC986A" w14:textId="77777777" w:rsidR="00F464DD" w:rsidRPr="00F464DD" w:rsidRDefault="00F464DD" w:rsidP="00F464DD">
      <w:r w:rsidRPr="00F464DD">
        <w:t xml:space="preserve">However, the models are not without their </w:t>
      </w:r>
      <w:r w:rsidRPr="00F464DD">
        <w:rPr>
          <w:b/>
          <w:bCs/>
        </w:rPr>
        <w:t>limitations</w:t>
      </w:r>
      <w:r w:rsidRPr="00F464DD">
        <w:t>. The standard GBM model's assumptions of constant volatility and normally distributed returns do not fully capture the "fat tails" and volatility clustering observed in actual market data. This can lead to an underestimation of the probability of extreme events.</w:t>
      </w:r>
    </w:p>
    <w:p w14:paraId="28601C36" w14:textId="77777777" w:rsidR="00F464DD" w:rsidRPr="00F464DD" w:rsidRDefault="00F464DD" w:rsidP="00F464DD">
      <w:r w:rsidRPr="00F464DD">
        <w:rPr>
          <w:b/>
          <w:bCs/>
        </w:rPr>
        <w:t>Future work</w:t>
      </w:r>
      <w:r w:rsidRPr="00F464DD">
        <w:t xml:space="preserve"> should focus on overcoming these limitations by incorporating more sophisticated models. Implementing the </w:t>
      </w:r>
      <w:r w:rsidRPr="00F464DD">
        <w:rPr>
          <w:b/>
          <w:bCs/>
        </w:rPr>
        <w:t>Heston model</w:t>
      </w:r>
      <w:r w:rsidRPr="00F464DD">
        <w:t xml:space="preserve"> would be a significant step forward, as its stochastic volatility framework is better equipped to handle the dynamic nature of market risk. Furthermore, integrating </w:t>
      </w:r>
      <w:r w:rsidRPr="00F464DD">
        <w:rPr>
          <w:b/>
          <w:bCs/>
        </w:rPr>
        <w:t>GARCH (Generalized Autoregressive Conditional Heteroskedasticity)</w:t>
      </w:r>
      <w:r w:rsidRPr="00F464DD">
        <w:t xml:space="preserve"> models could provide an even more refined approach to </w:t>
      </w:r>
      <w:proofErr w:type="spellStart"/>
      <w:r w:rsidRPr="00F464DD">
        <w:t>modeling</w:t>
      </w:r>
      <w:proofErr w:type="spellEnd"/>
      <w:r w:rsidRPr="00F464DD">
        <w:t xml:space="preserve"> volatility clustering, leading to more accurate and robust risk assessments for complex financial portfolios.</w:t>
      </w:r>
    </w:p>
    <w:p w14:paraId="701B0C43" w14:textId="77777777" w:rsidR="00F66AC1" w:rsidRDefault="00F66AC1"/>
    <w:sectPr w:rsidR="00F66A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B05C8"/>
    <w:multiLevelType w:val="multilevel"/>
    <w:tmpl w:val="FB0A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35996"/>
    <w:multiLevelType w:val="multilevel"/>
    <w:tmpl w:val="4506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7552268">
    <w:abstractNumId w:val="1"/>
  </w:num>
  <w:num w:numId="2" w16cid:durableId="1535190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4DD"/>
    <w:rsid w:val="002B4245"/>
    <w:rsid w:val="008A752D"/>
    <w:rsid w:val="00B6154E"/>
    <w:rsid w:val="00F464DD"/>
    <w:rsid w:val="00F66A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8C5FA"/>
  <w15:chartTrackingRefBased/>
  <w15:docId w15:val="{385334E0-C62C-4067-A210-B92788276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4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64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64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64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64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64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64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64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64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4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64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64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64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64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64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64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64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64DD"/>
    <w:rPr>
      <w:rFonts w:eastAsiaTheme="majorEastAsia" w:cstheme="majorBidi"/>
      <w:color w:val="272727" w:themeColor="text1" w:themeTint="D8"/>
    </w:rPr>
  </w:style>
  <w:style w:type="paragraph" w:styleId="Title">
    <w:name w:val="Title"/>
    <w:basedOn w:val="Normal"/>
    <w:next w:val="Normal"/>
    <w:link w:val="TitleChar"/>
    <w:uiPriority w:val="10"/>
    <w:qFormat/>
    <w:rsid w:val="00F464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4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64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64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64DD"/>
    <w:pPr>
      <w:spacing w:before="160"/>
      <w:jc w:val="center"/>
    </w:pPr>
    <w:rPr>
      <w:i/>
      <w:iCs/>
      <w:color w:val="404040" w:themeColor="text1" w:themeTint="BF"/>
    </w:rPr>
  </w:style>
  <w:style w:type="character" w:customStyle="1" w:styleId="QuoteChar">
    <w:name w:val="Quote Char"/>
    <w:basedOn w:val="DefaultParagraphFont"/>
    <w:link w:val="Quote"/>
    <w:uiPriority w:val="29"/>
    <w:rsid w:val="00F464DD"/>
    <w:rPr>
      <w:i/>
      <w:iCs/>
      <w:color w:val="404040" w:themeColor="text1" w:themeTint="BF"/>
    </w:rPr>
  </w:style>
  <w:style w:type="paragraph" w:styleId="ListParagraph">
    <w:name w:val="List Paragraph"/>
    <w:basedOn w:val="Normal"/>
    <w:uiPriority w:val="34"/>
    <w:qFormat/>
    <w:rsid w:val="00F464DD"/>
    <w:pPr>
      <w:ind w:left="720"/>
      <w:contextualSpacing/>
    </w:pPr>
  </w:style>
  <w:style w:type="character" w:styleId="IntenseEmphasis">
    <w:name w:val="Intense Emphasis"/>
    <w:basedOn w:val="DefaultParagraphFont"/>
    <w:uiPriority w:val="21"/>
    <w:qFormat/>
    <w:rsid w:val="00F464DD"/>
    <w:rPr>
      <w:i/>
      <w:iCs/>
      <w:color w:val="0F4761" w:themeColor="accent1" w:themeShade="BF"/>
    </w:rPr>
  </w:style>
  <w:style w:type="paragraph" w:styleId="IntenseQuote">
    <w:name w:val="Intense Quote"/>
    <w:basedOn w:val="Normal"/>
    <w:next w:val="Normal"/>
    <w:link w:val="IntenseQuoteChar"/>
    <w:uiPriority w:val="30"/>
    <w:qFormat/>
    <w:rsid w:val="00F464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64DD"/>
    <w:rPr>
      <w:i/>
      <w:iCs/>
      <w:color w:val="0F4761" w:themeColor="accent1" w:themeShade="BF"/>
    </w:rPr>
  </w:style>
  <w:style w:type="character" w:styleId="IntenseReference">
    <w:name w:val="Intense Reference"/>
    <w:basedOn w:val="DefaultParagraphFont"/>
    <w:uiPriority w:val="32"/>
    <w:qFormat/>
    <w:rsid w:val="00F464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882</Words>
  <Characters>5031</Characters>
  <Application>Microsoft Office Word</Application>
  <DocSecurity>0</DocSecurity>
  <Lines>41</Lines>
  <Paragraphs>11</Paragraphs>
  <ScaleCrop>false</ScaleCrop>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Prakash Shanu</dc:creator>
  <cp:keywords/>
  <dc:description/>
  <cp:lastModifiedBy>Chandra Prakash Shanu</cp:lastModifiedBy>
  <cp:revision>1</cp:revision>
  <dcterms:created xsi:type="dcterms:W3CDTF">2025-09-07T04:41:00Z</dcterms:created>
  <dcterms:modified xsi:type="dcterms:W3CDTF">2025-09-07T04:42:00Z</dcterms:modified>
</cp:coreProperties>
</file>