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Times New Roman" w:hAnsi="Times New Roman"/>
          <w:b/>
          <w:sz w:val="30"/>
        </w:rPr>
        <w:t>Highlights</w:t>
      </w:r>
    </w:p>
    <w:p>
      <w:pPr>
        <w:pStyle w:val="ListBullet"/>
        <w:spacing w:after="80" w:line="240" w:lineRule="auto"/>
      </w:pPr>
      <w:r>
        <w:rPr>
          <w:rFonts w:ascii="Times New Roman" w:hAnsi="Times New Roman"/>
          <w:sz w:val="22"/>
        </w:rPr>
        <w:t>A six-gate benchmark-integrity audit for conformal SOH evidence.</w:t>
      </w:r>
    </w:p>
    <w:p>
      <w:pPr>
        <w:pStyle w:val="ListBullet"/>
        <w:spacing w:after="80" w:line="240" w:lineRule="auto"/>
      </w:pPr>
      <w:r>
        <w:rPr>
          <w:rFonts w:ascii="Times New Roman" w:hAnsi="Times New Roman"/>
          <w:sz w:val="22"/>
        </w:rPr>
        <w:t>Method-matched recent-label removal cuts coverage in five tasks.</w:t>
      </w:r>
    </w:p>
    <w:p>
      <w:pPr>
        <w:pStyle w:val="ListBullet"/>
        <w:spacing w:after="80" w:line="240" w:lineRule="auto"/>
      </w:pPr>
      <w:r>
        <w:rPr>
          <w:rFonts w:ascii="Times New Roman" w:hAnsi="Times New Roman"/>
          <w:sz w:val="22"/>
        </w:rPr>
        <w:t>Schema-bundle sensitivity changes false acceptance at an SOH threshold.</w:t>
      </w:r>
    </w:p>
    <w:p>
      <w:pPr>
        <w:pStyle w:val="ListBullet"/>
        <w:spacing w:after="80" w:line="240" w:lineRule="auto"/>
      </w:pPr>
      <w:r>
        <w:rPr>
          <w:rFonts w:ascii="Times New Roman" w:hAnsi="Times New Roman"/>
          <w:sz w:val="22"/>
        </w:rPr>
        <w:t>An independent control blocks unsupported mechanism attribution.</w:t>
      </w:r>
    </w:p>
    <w:p>
      <w:pPr>
        <w:pStyle w:val="ListBullet"/>
        <w:spacing w:after="80" w:line="240" w:lineRule="auto"/>
      </w:pPr>
      <w:r>
        <w:rPr>
          <w:rFonts w:ascii="Times New Roman" w:hAnsi="Times New Roman"/>
          <w:sz w:val="22"/>
        </w:rPr>
        <w:t>Decision audits report both error directions, cell counts, and denominators.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