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Cover Letter</w:t>
      </w:r>
    </w:p>
    <w:p>
      <w:pPr>
        <w:spacing w:after="30"/>
      </w:pPr>
      <w:r>
        <w:rPr>
          <w:rFonts w:ascii="Times New Roman" w:hAnsi="Times New Roman"/>
          <w:b/>
          <w:sz w:val="21"/>
        </w:rPr>
        <w:t>To:</w:t>
      </w:r>
      <w:r>
        <w:rPr>
          <w:rFonts w:ascii="Times New Roman" w:hAnsi="Times New Roman"/>
          <w:sz w:val="21"/>
        </w:rPr>
        <w:t xml:space="preserve"> The Editors</w:t>
      </w:r>
    </w:p>
    <w:p>
      <w:pPr>
        <w:spacing w:after="30"/>
      </w:pPr>
      <w:r>
        <w:rPr>
          <w:rFonts w:ascii="Times New Roman" w:hAnsi="Times New Roman"/>
          <w:b/>
          <w:sz w:val="21"/>
        </w:rPr>
        <w:t>Journal:</w:t>
      </w:r>
      <w:r>
        <w:rPr>
          <w:rFonts w:ascii="Times New Roman" w:hAnsi="Times New Roman"/>
          <w:sz w:val="21"/>
        </w:rPr>
        <w:t xml:space="preserve"> Reliability Engineering &amp; System Safety</w:t>
      </w:r>
    </w:p>
    <w:p>
      <w:pPr>
        <w:spacing w:after="30"/>
      </w:pPr>
      <w:r>
        <w:rPr>
          <w:rFonts w:ascii="Times New Roman" w:hAnsi="Times New Roman"/>
          <w:b/>
          <w:sz w:val="21"/>
        </w:rPr>
        <w:t>Date:</w:t>
      </w:r>
      <w:r>
        <w:rPr>
          <w:rFonts w:ascii="Times New Roman" w:hAnsi="Times New Roman"/>
          <w:sz w:val="21"/>
        </w:rPr>
        <w:t xml:space="preserve"> August 7, 2026</w:t>
      </w:r>
    </w:p>
    <w:p>
      <w:pPr>
        <w:spacing w:after="160" w:before="160"/>
      </w:pPr>
      <w:r>
        <w:rPr>
          <w:rFonts w:ascii="Times New Roman" w:hAnsi="Times New Roman"/>
          <w:sz w:val="21"/>
        </w:rPr>
        <w:t>Dear Editors,</w:t>
      </w:r>
    </w:p>
    <w:p>
      <w:pPr>
        <w:spacing w:after="120"/>
        <w:jc w:val="both"/>
      </w:pPr>
      <w:r>
        <w:rPr>
          <w:rFonts w:ascii="Times New Roman" w:hAnsi="Times New Roman"/>
          <w:sz w:val="21"/>
        </w:rPr>
        <w:t>We are pleased to submit our manuscript entitled "</w:t>
      </w:r>
      <w:r>
        <w:rPr>
          <w:rFonts w:ascii="Times New Roman" w:hAnsi="Times New Roman"/>
          <w:b/>
          <w:sz w:val="21"/>
        </w:rPr>
        <w:t>A Benchmark-Integrity Audit Protocol for Conformal Battery State-of-Health Evaluation: Recent-Label Dependence, Schema-Bundle Sensitivity, and Threshold-Decision Risk</w:t>
      </w:r>
      <w:r>
        <w:rPr>
          <w:rFonts w:ascii="Times New Roman" w:hAnsi="Times New Roman"/>
          <w:sz w:val="21"/>
        </w:rPr>
        <w:t>" for consideration for publication in Reliability Engineering &amp; System Safety as a Research Paper.</w:t>
      </w:r>
    </w:p>
    <w:p>
      <w:pPr>
        <w:spacing w:after="120"/>
        <w:jc w:val="both"/>
      </w:pPr>
      <w:r>
        <w:rPr>
          <w:rFonts w:ascii="Times New Roman" w:hAnsi="Times New Roman"/>
          <w:sz w:val="21"/>
        </w:rPr>
        <w:t>Data-driven state-of-health (SOH) prognostics increasingly feed maintenance and serviceability decisions, and conformal prediction is an attractive way to attach finite-sample uncertainty to those decisions. Yet cross-dataset validation can conceal undeclared measurement conditions. This manuscript develops a six-gate benchmark-integrity audit protocol covering the prediction-time information set, split integrity, cell-aware uncertainty, independent negative controls, threshold-decision consequences, and localization sensitivity, and demonstrates it on 13,831 analysis-eligible records drawn from 13,876 real cycle-level observations in the CALCE, NASA, and Oxford battery datasets.</w:t>
      </w:r>
    </w:p>
    <w:p>
      <w:pPr>
        <w:spacing w:after="120"/>
        <w:jc w:val="both"/>
      </w:pPr>
      <w:r>
        <w:rPr>
          <w:rFonts w:ascii="Times New Roman" w:hAnsi="Times New Roman"/>
          <w:sz w:val="21"/>
        </w:rPr>
        <w:t>The audit yields three findings of direct interest to the reliability community:</w:t>
      </w:r>
    </w:p>
    <w:p>
      <w:pPr>
        <w:pStyle w:val="ListBullet"/>
        <w:spacing w:after="80"/>
        <w:ind w:left="403" w:hanging="259"/>
      </w:pPr>
      <w:r>
        <w:rPr>
          <w:rFonts w:ascii="Times New Roman" w:hAnsi="Times New Roman"/>
          <w:sz w:val="21"/>
        </w:rPr>
        <w:t>Access to the most recent measured SOH is a load-bearing measurement condition: five adjusted cross-dataset intervals support coverage reductions, by up to 60.4 percentage points.</w:t>
      </w:r>
    </w:p>
    <w:p>
      <w:pPr>
        <w:pStyle w:val="ListBullet"/>
        <w:spacing w:after="80"/>
        <w:ind w:left="403" w:hanging="259"/>
      </w:pPr>
      <w:r>
        <w:rPr>
          <w:rFonts w:ascii="Times New Roman" w:hAnsi="Times New Roman"/>
          <w:sz w:val="21"/>
        </w:rPr>
        <w:t>Feature-schema sensitivity has bounded decision consequences: the as-used schema bundle raises false acceptance at the 0.90 SOH threshold by 100 percentage points in the leave-NASA task (exact paired-cell test), while an opposite-direction leave-CALCE contrast does not pass correction and the independent-control gate confines the finding to a bundle-level association.</w:t>
      </w:r>
    </w:p>
    <w:p>
      <w:pPr>
        <w:pStyle w:val="ListBullet"/>
        <w:spacing w:after="80"/>
        <w:ind w:left="403" w:hanging="259"/>
      </w:pPr>
      <w:r>
        <w:rPr>
          <w:rFonts w:ascii="Times New Roman" w:hAnsi="Times New Roman"/>
          <w:sz w:val="21"/>
        </w:rPr>
        <w:t>Interval coverage alone does not certify threshold decisions: the protocol links coverage to false-acceptance/false-rejection rates with denominators and small-denominator suppression.</w:t>
      </w:r>
    </w:p>
    <w:p>
      <w:pPr>
        <w:spacing w:after="120"/>
        <w:jc w:val="both"/>
      </w:pPr>
      <w:r>
        <w:rPr>
          <w:rFonts w:ascii="Times New Roman" w:hAnsi="Times New Roman"/>
          <w:sz w:val="21"/>
        </w:rPr>
        <w:t>Relative to current work on producing conformal intervals, adapting SOH models under shift, and bounding non-exchangeable coverage, the contribution is complementary: the protocol treats the benchmark that certifies those intervals as the object of reliability analysis. Each gate couples an evidentiary requirement to a claim-bounding consequence, so failed controls restrict what may be concluded instead of being hidden or relabeled as a mechanism.</w:t>
      </w:r>
    </w:p>
    <w:p>
      <w:pPr>
        <w:spacing w:after="120"/>
        <w:jc w:val="both"/>
      </w:pPr>
      <w:r>
        <w:rPr>
          <w:rFonts w:ascii="Times New Roman" w:hAnsi="Times New Roman"/>
          <w:sz w:val="21"/>
        </w:rPr>
        <w:t>We confirm that this manuscript has not been published elsewhere and is not under consideration by another journal. All authors have approved the manuscript and agree with its submission. We have no conflicts of interest to disclose. All data and code underlying the reported results are publicly available in the project replication repository cited in the manuscript.</w:t>
      </w:r>
    </w:p>
    <w:p>
      <w:pPr>
        <w:spacing w:after="120"/>
        <w:jc w:val="both"/>
      </w:pPr>
      <w:r>
        <w:rPr>
          <w:rFonts w:ascii="Times New Roman" w:hAnsi="Times New Roman"/>
          <w:sz w:val="21"/>
        </w:rPr>
        <w:t>We look forward to your consideration.</w:t>
      </w:r>
    </w:p>
    <w:p>
      <w:pPr>
        <w:spacing w:after="280" w:before="200"/>
      </w:pPr>
      <w:r>
        <w:rPr>
          <w:rFonts w:ascii="Times New Roman" w:hAnsi="Times New Roman"/>
          <w:sz w:val="21"/>
        </w:rPr>
        <w:t>Sincerely,</w:t>
      </w:r>
    </w:p>
    <w:p>
      <w:pPr>
        <w:keepLines/>
        <w:spacing w:after="0"/>
      </w:pPr>
      <w:r>
        <w:rPr>
          <w:rFonts w:ascii="Times New Roman" w:hAnsi="Times New Roman"/>
          <w:b/>
          <w:sz w:val="21"/>
        </w:rPr>
        <w:t>Qianning Liu</w:t>
      </w:r>
      <w:r>
        <w:rPr>
          <w:rFonts w:ascii="Times New Roman" w:hAnsi="Times New Roman"/>
          <w:sz w:val="21"/>
        </w:rPr>
        <w:t xml:space="preserve"> (corresponding author)</w:t>
      </w:r>
    </w:p>
    <w:p>
      <w:pPr>
        <w:keepLines/>
        <w:spacing w:after="0"/>
      </w:pPr>
      <w:r>
        <w:rPr>
          <w:rFonts w:ascii="Times New Roman" w:hAnsi="Times New Roman"/>
          <w:sz w:val="21"/>
        </w:rPr>
        <w:t>School of Statistics and Data Science</w:t>
      </w:r>
    </w:p>
    <w:p>
      <w:pPr>
        <w:keepLines/>
        <w:spacing w:after="0"/>
      </w:pPr>
      <w:r>
        <w:rPr>
          <w:rFonts w:ascii="Times New Roman" w:hAnsi="Times New Roman"/>
          <w:sz w:val="21"/>
        </w:rPr>
        <w:t>Key Laboratory of Data Science in Finance and Economics</w:t>
      </w:r>
    </w:p>
    <w:p>
      <w:pPr>
        <w:keepLines/>
        <w:spacing w:after="0"/>
      </w:pPr>
      <w:r>
        <w:rPr>
          <w:rFonts w:ascii="Times New Roman" w:hAnsi="Times New Roman"/>
          <w:sz w:val="21"/>
        </w:rPr>
        <w:t>Jiangxi University of Finance and Economics, Nanchang, China</w:t>
      </w:r>
    </w:p>
    <w:p>
      <w:pPr>
        <w:keepLines/>
        <w:spacing w:after="0"/>
      </w:pPr>
      <w:r>
        <w:rPr>
          <w:rFonts w:ascii="Times New Roman" w:hAnsi="Times New Roman"/>
          <w:sz w:val="21"/>
        </w:rPr>
        <w:t>Email: liuqianning@jxufe.edu.cn</w:t>
      </w:r>
    </w:p>
    <w:sectPr w:rsidR="00FC693F" w:rsidRPr="0006063C" w:rsidSect="00034616">
      <w:pgSz w:w="12240" w:h="15840"/>
      <w:pgMar w:top="1037"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Reliability Engineering &amp; System Safety</dc:title>
  <dc:subject/>
  <dc:creator>Qianning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