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8566B"/>
          <w:sz w:val="38"/>
        </w:rPr>
        <w:t>Supplementary Material</w:t>
      </w:r>
    </w:p>
    <w:p>
      <w:pPr>
        <w:keepNext/>
        <w:spacing w:before="140" w:after="80"/>
      </w:pPr>
      <w:r>
        <w:rPr>
          <w:rFonts w:ascii="Arial" w:hAnsi="Arial"/>
          <w:b/>
          <w:color w:val="18566B"/>
          <w:sz w:val="30"/>
        </w:rPr>
        <w:t>Case implementation and provenance for the six-gate audit</w:t>
      </w:r>
    </w:p>
    <w:p>
      <w:pPr>
        <w:spacing w:before="0" w:after="100" w:line="245" w:lineRule="auto"/>
      </w:pPr>
      <w:r>
        <w:rPr>
          <w:rFonts w:ascii="Arial" w:hAnsi="Arial"/>
          <w:sz w:val="18"/>
        </w:rPr>
        <w:t>This supplement accompanies “A Benchmark-Integrity Audit Protocol for Conformal Battery State-of-Health Evaluation: Recent-Label Dependence, Schema-Bundle Sensitivity, and Threshold-Decision Risk.” It makes the retrospective case implementation auditable. The integrated G1–G6 synthesis was developed after the diagnostic program; it was not prospectively registered. The component plan files, scripts, and current paper data are preserved at immutable public replication commit 42f1120ed1​f5cbc0282a​706ebd4bec​24a8d19d6e.</w:t>
      </w:r>
    </w:p>
    <w:p>
      <w:pPr>
        <w:keepNext/>
        <w:spacing w:before="80" w:after="80"/>
      </w:pPr>
      <w:r>
        <w:rPr>
          <w:rFonts w:ascii="Arial" w:hAnsi="Arial"/>
          <w:b/>
          <w:color w:val="18566B"/>
          <w:sz w:val="22"/>
        </w:rPr>
        <w:t>Table S1. Analysis-to-gate implementation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AB7BD"/>
          <w:left w:val="single" w:sz="4" w:space="0" w:color="AAB7BD"/>
          <w:bottom w:val="single" w:sz="4" w:space="0" w:color="AAB7BD"/>
          <w:right w:val="single" w:sz="4" w:space="0" w:color="AAB7BD"/>
          <w:insideH w:val="single" w:sz="4" w:space="0" w:color="AAB7BD"/>
          <w:insideV w:val="single" w:sz="4" w:space="0" w:color="AAB7BD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rHeight w:hRule="atLeast"/>
          <w:tblHeader w:val="true"/>
        </w:trPr>
        <w:tc>
          <w:tcPr>
            <w:tcW w:type="dxa" w:w="1037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31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Governed analysis</w:t>
            </w:r>
          </w:p>
        </w:tc>
        <w:tc>
          <w:tcPr>
            <w:tcW w:type="dxa" w:w="1181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Gate(s)</w:t>
            </w:r>
          </w:p>
        </w:tc>
        <w:tc>
          <w:tcPr>
            <w:tcW w:type="dxa" w:w="2448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Tasks and rows</w:t>
            </w:r>
          </w:p>
        </w:tc>
        <w:tc>
          <w:tcPr>
            <w:tcW w:type="dxa" w:w="3096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Feature schema</w:t>
            </w:r>
          </w:p>
        </w:tc>
        <w:tc>
          <w:tcPr>
            <w:tcW w:type="dxa" w:w="4104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Model /​ conformal family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A01 /​ exp001</w:t>
            </w:r>
          </w:p>
        </w:tc>
        <w:tc>
          <w:tcPr>
            <w:tcW w:type="dxa" w:w="213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Pooled-domain, cell-held-out coverage baseline</w:t>
            </w:r>
          </w:p>
        </w:tc>
        <w:tc>
          <w:tcPr>
            <w:tcW w:type="dxa" w:w="118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G1, G2, G3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Main; governed cell-disjoint train/​calibration/​validation/​test partitions</w:t>
            </w:r>
          </w:p>
        </w:tc>
        <w:tc>
          <w:tcPr>
            <w:tcW w:type="dxa" w:w="309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QA numeric schema; recent prev_​soh permitted only as a declared sequential measurement</w:t>
            </w:r>
          </w:p>
        </w:tc>
        <w:tc>
          <w:tcPr>
            <w:tcW w:type="dxa" w:w="4104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Ridge, gradient boosting (GB), random forest, and extra trees with standard, weighted, domain-Mondrian, online-adaptive, and persistence-anchor conformal candidates; selected diagnostic is persistence-anchor protocol-Mondrian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A02 /​ exp002</w:t>
            </w:r>
          </w:p>
        </w:tc>
        <w:tc>
          <w:tcPr>
            <w:tcW w:type="dxa" w:w="213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Recent-label and resistance ablation</w:t>
            </w:r>
          </w:p>
        </w:tc>
        <w:tc>
          <w:tcPr>
            <w:tcW w:type="dxa" w:w="118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G1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Main; identical governed partitions across four conditions</w:t>
            </w:r>
          </w:p>
        </w:tc>
        <w:tc>
          <w:tcPr>
            <w:tcW w:type="dxa" w:w="3096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Full; minus prev_​soh; minus resistance; minus both; persistence candidate disabled when prev_​soh is absent</w:t>
            </w:r>
          </w:p>
        </w:tc>
        <w:tc>
          <w:tcPr>
            <w:tcW w:type="dxa" w:w="4104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 candidate families as A01; validation-only selection within each condition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A03 /​ exp003</w:t>
            </w:r>
          </w:p>
        </w:tc>
        <w:tc>
          <w:tcPr>
            <w:tcW w:type="dxa" w:w="213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Cross-dataset transfer diagnostic</w:t>
            </w:r>
          </w:p>
        </w:tc>
        <w:tc>
          <w:tcPr>
            <w:tcW w:type="dxa" w:w="118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G1, G2, G3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LCAL, TCAL, LNAS, TNAS, LOxf, TOxf</w:t>
            </w:r>
          </w:p>
        </w:tc>
        <w:tc>
          <w:tcPr>
            <w:tcW w:type="dxa" w:w="309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Cross-domain numeric schema excludes dataset-, chemistry-, and protocol-identity columns; recent label remains a declared condition</w:t>
            </w:r>
          </w:p>
        </w:tc>
        <w:tc>
          <w:tcPr>
            <w:tcW w:type="dxa" w:w="4104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 point-predictor and conformal candidate families as A01, including protocol-Mondrian where groups exist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A04 /​ exp004</w:t>
            </w:r>
          </w:p>
        </w:tc>
        <w:tc>
          <w:tcPr>
            <w:tcW w:type="dxa" w:w="213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Residual-bias stress screen</w:t>
            </w:r>
          </w:p>
        </w:tc>
        <w:tc>
          <w:tcPr>
            <w:tcW w:type="dxa" w:w="118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Ancillary to G3/​G4 interpretation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Main test rows from A01</w:t>
            </w:r>
          </w:p>
        </w:tc>
        <w:tc>
          <w:tcPr>
            <w:tcW w:type="dxa" w:w="3096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 refit; additive bias is applied to the selected point prediction</w:t>
            </w:r>
          </w:p>
        </w:tc>
        <w:tc>
          <w:tcPr>
            <w:tcW w:type="dxa" w:w="4104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Selected A01 persistence-anchor interval; conformal radius is fixed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A05 /​ exp005</w:t>
            </w:r>
          </w:p>
        </w:tc>
        <w:tc>
          <w:tcPr>
            <w:tcW w:type="dxa" w:w="213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Host-timing screen</w:t>
            </w:r>
          </w:p>
        </w:tc>
        <w:tc>
          <w:tcPr>
            <w:tcW w:type="dxa" w:w="118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Ancillary only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512 real Main test rows</w:t>
            </w:r>
          </w:p>
        </w:tc>
        <w:tc>
          <w:tcPr>
            <w:tcW w:type="dxa" w:w="309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prev_​soh and precomputed calibration-group radius</w:t>
            </w:r>
          </w:p>
        </w:tc>
        <w:tc>
          <w:tcPr>
            <w:tcW w:type="dxa" w:w="4104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Persistence-only lookup, persistence-anchor interval lookup, and GB inference; no deployment claim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A06 /​ exp006</w:t>
            </w:r>
          </w:p>
        </w:tc>
        <w:tc>
          <w:tcPr>
            <w:tcW w:type="dxa" w:w="213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Method-family and dependence-aware comparison</w:t>
            </w:r>
          </w:p>
        </w:tc>
        <w:tc>
          <w:tcPr>
            <w:tcW w:type="dxa" w:w="118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G2, G3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Main plus all six cross-dataset tasks</w:t>
            </w:r>
          </w:p>
        </w:tc>
        <w:tc>
          <w:tcPr>
            <w:tcW w:type="dxa" w:w="3096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Governed task-specific schemas from the split manifest</w:t>
            </w:r>
          </w:p>
        </w:tc>
        <w:tc>
          <w:tcPr>
            <w:tcW w:type="dxa" w:w="4104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Persistence-anchor protocol-Mondrian, GB quantile regression (QR), GB conformalized quantile regression (CQR), and NGBoost-CQR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A07 /​ exp007</w:t>
            </w:r>
          </w:p>
        </w:tc>
        <w:tc>
          <w:tcPr>
            <w:tcW w:type="dxa" w:w="213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Cross-family UQ and two-threshold decision audit</w:t>
            </w:r>
          </w:p>
        </w:tc>
        <w:tc>
          <w:tcPr>
            <w:tcW w:type="dxa" w:w="118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G2, G3, G5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 seven tasks and corrected disjoint rows</w:t>
            </w:r>
          </w:p>
        </w:tc>
        <w:tc>
          <w:tcPr>
            <w:tcW w:type="dxa" w:w="309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 task schemas as A06</w:t>
            </w:r>
          </w:p>
        </w:tc>
        <w:tc>
          <w:tcPr>
            <w:tcW w:type="dxa" w:w="4104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Persistence-anchor, GB-QR, GB-CQR, and NGBoost-CQR; decision cells at SOH 0.70 and 0.80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A08 /​ exp008</w:t>
            </w:r>
          </w:p>
        </w:tc>
        <w:tc>
          <w:tcPr>
            <w:tcW w:type="dxa" w:w="213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Reliability and decision-consequence audit</w:t>
            </w:r>
          </w:p>
        </w:tc>
        <w:tc>
          <w:tcPr>
            <w:tcW w:type="dxa" w:w="118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G1, G2, G3, G5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 seven tasks and corrected disjoint rows</w:t>
            </w:r>
          </w:p>
        </w:tc>
        <w:tc>
          <w:tcPr>
            <w:tcW w:type="dxa" w:w="3096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Declared recent-label availability and task schemas</w:t>
            </w:r>
          </w:p>
        </w:tc>
        <w:tc>
          <w:tcPr>
            <w:tcW w:type="dxa" w:w="4104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A07 families; cell-block uncertainty, subgroup checks, false acceptance, false rejection, and uncertainty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A09 /​ exp009</w:t>
            </w:r>
          </w:p>
        </w:tc>
        <w:tc>
          <w:tcPr>
            <w:tcW w:type="dxa" w:w="213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Schema-cleaning and residual-shift audit</w:t>
            </w:r>
          </w:p>
        </w:tc>
        <w:tc>
          <w:tcPr>
            <w:tcW w:type="dxa" w:w="118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G4, G5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 seven tasks; added harmonized LNAS diagnostic</w:t>
            </w:r>
          </w:p>
        </w:tc>
        <w:tc>
          <w:tcPr>
            <w:tcW w:type="dxa" w:w="309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Original task schema versus a common cross-dataset schema</w:t>
            </w:r>
          </w:p>
        </w:tc>
        <w:tc>
          <w:tcPr>
            <w:tcW w:type="dxa" w:w="4104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GB-CQR and supporting A08 families; identical rows within contrasts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A10 /​ exp010</w:t>
            </w:r>
          </w:p>
        </w:tc>
        <w:tc>
          <w:tcPr>
            <w:tcW w:type="dxa" w:w="213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No-recent-label hard-regime audit</w:t>
            </w:r>
          </w:p>
        </w:tc>
        <w:tc>
          <w:tcPr>
            <w:tcW w:type="dxa" w:w="118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G1, G4, G5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Seven tasks; horizons 0, 5, and 20; six SOH thresholds</w:t>
            </w:r>
          </w:p>
        </w:tc>
        <w:tc>
          <w:tcPr>
            <w:tcW w:type="dxa" w:w="3096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 prev_​soh; original, common-cycle, and stage schemas</w:t>
            </w:r>
          </w:p>
        </w:tc>
        <w:tc>
          <w:tcPr>
            <w:tcW w:type="dxa" w:w="4104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GB-QR, GB-CQR, and stage-Mondrian CQR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A11 /​ exp011</w:t>
            </w:r>
          </w:p>
        </w:tc>
        <w:tc>
          <w:tcPr>
            <w:tcW w:type="dxa" w:w="213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Schema-to-decision audit and independent control</w:t>
            </w:r>
          </w:p>
        </w:tc>
        <w:tc>
          <w:tcPr>
            <w:tcW w:type="dxa" w:w="1181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G1, G4, G5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Seven horizon-0 tasks; identical within-task rows; 245 contrast/​end-point tests</w:t>
            </w:r>
          </w:p>
        </w:tc>
        <w:tc>
          <w:tcPr>
            <w:tcW w:type="dxa" w:w="309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As-used bundle, clean-original, common-cycle no-recent, common-cycle plus recent-label reference, and clean plus a fixed-seed permuted log-cycle control</w:t>
            </w:r>
          </w:p>
        </w:tc>
        <w:tc>
          <w:tcPr>
            <w:tcW w:type="dxa" w:w="4104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One GB-CQR procedure fitted under each schema; paired cell-block deltas</w:t>
            </w:r>
          </w:p>
        </w:tc>
      </w:tr>
      <w:tr>
        <w:trPr>
          <w:cantSplit w:val="true"/>
          <w:trHeight w:hRule="atLeast"/>
        </w:trPr>
        <w:tc>
          <w:tcPr>
            <w:tcW w:type="dxa" w:w="1037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A12 /​ exp012</w:t>
            </w:r>
          </w:p>
        </w:tc>
        <w:tc>
          <w:tcPr>
            <w:tcW w:type="dxa" w:w="213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Localized-residual sensitivity comparator</w:t>
            </w:r>
          </w:p>
        </w:tc>
        <w:tc>
          <w:tcPr>
            <w:tcW w:type="dxa" w:w="1181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G6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 seven corrected tasks and identical standard/​localized rows</w:t>
            </w:r>
          </w:p>
        </w:tc>
        <w:tc>
          <w:tcPr>
            <w:tcW w:type="dxa" w:w="3096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Clean task features shared by calibration and target rows; no density-ratio estimate</w:t>
            </w:r>
          </w:p>
        </w:tc>
        <w:tc>
          <w:tcPr>
            <w:tcW w:type="dxa" w:w="4104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Standard GB-CQR versus Gaussian-kernel localized-residual CQR; sensitivity diagnostic only</w:t>
            </w:r>
          </w:p>
        </w:tc>
      </w:tr>
    </w:tbl>
    <w:p>
      <w:pPr>
        <w:spacing w:after="0"/>
      </w:pPr>
    </w:p>
    <w:p>
      <w:pPr>
        <w:keepNext/>
        <w:spacing w:before="80" w:after="80"/>
      </w:pPr>
      <w:r>
        <w:rPr>
          <w:rFonts w:ascii="Arial" w:hAnsi="Arial"/>
          <w:b/>
          <w:color w:val="18566B"/>
          <w:sz w:val="22"/>
        </w:rPr>
        <w:t>Table S2. Locked parameters, selection, plan provenance, rerun, and deviations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AB7BD"/>
          <w:left w:val="single" w:sz="4" w:space="0" w:color="AAB7BD"/>
          <w:bottom w:val="single" w:sz="4" w:space="0" w:color="AAB7BD"/>
          <w:right w:val="single" w:sz="4" w:space="0" w:color="AAB7BD"/>
          <w:insideH w:val="single" w:sz="4" w:space="0" w:color="AAB7BD"/>
          <w:insideV w:val="single" w:sz="4" w:space="0" w:color="AAB7BD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rHeight w:hRule="atLeast"/>
          <w:tblHeader w:val="true"/>
        </w:trPr>
        <w:tc>
          <w:tcPr>
            <w:tcW w:type="dxa" w:w="792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08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Hyperparameters /​ search grid</w:t>
            </w:r>
          </w:p>
        </w:tc>
        <w:tc>
          <w:tcPr>
            <w:tcW w:type="dxa" w:w="2520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Calibration and selection rule</w:t>
            </w:r>
          </w:p>
        </w:tc>
        <w:tc>
          <w:tcPr>
            <w:tcW w:type="dxa" w:w="3168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 identifier, archive date, immutable plan commit</w:t>
            </w:r>
          </w:p>
        </w:tc>
        <w:tc>
          <w:tcPr>
            <w:tcW w:type="dxa" w:w="2448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Governed run identifier</w:t>
            </w:r>
          </w:p>
        </w:tc>
        <w:tc>
          <w:tcPr>
            <w:tcW w:type="dxa" w:w="3053"/>
            <w:shd w:fill="18566B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Recorded deviation or claim boundary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A01</w:t>
            </w:r>
          </w:p>
        </w:tc>
        <w:tc>
          <w:tcPr>
            <w:tcW w:type="dxa" w:w="280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GB: 250 trees, depth 3, learning rate 0.035; RF/​ET: 300 trees, minimum leaf 3; q grid 0.90, 0.93, 0.95, 0.97, 0.99, 1.00</w:t>
            </w:r>
          </w:p>
        </w:tc>
        <w:tc>
          <w:tcPr>
            <w:tcW w:type="dxa" w:w="2520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Validation coverage first, then minimum validation width; test metrics excluded</w:t>
            </w:r>
          </w:p>
        </w:tc>
        <w:tc>
          <w:tcPr>
            <w:tcW w:type="dxa" w:w="316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experiments/​exp001_​main/​plan.md; 2026-05-20; e2ed4beba4​4f49f92f36​f3c66a545b​df528eb010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PCR-2026-07-18-01 full real-data rerun; scripts/​run_​real_​experiments.py --seed 42</w:t>
            </w:r>
          </w:p>
        </w:tc>
        <w:tc>
          <w:tcPr>
            <w:tcW w:type="dxa" w:w="3053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Legacy experiment lacks a standalone run manifest; current manuscript values were regenerated in the pinned full rerun and are covered by the paper SSOT/​raw recomputation gate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A02</w:t>
            </w:r>
          </w:p>
        </w:tc>
        <w:tc>
          <w:tcPr>
            <w:tcW w:type="dxa" w:w="280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four predeclared drop-feature conditions; A01 model and q grids</w:t>
            </w:r>
          </w:p>
        </w:tc>
        <w:tc>
          <w:tcPr>
            <w:tcW w:type="dxa" w:w="2520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A01 validation-only rule, applied separately within each condition</w:t>
            </w:r>
          </w:p>
        </w:tc>
        <w:tc>
          <w:tcPr>
            <w:tcW w:type="dxa" w:w="316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experiments/​exp002_​ablation/​plan.md; 2026-05-20; e2ed4beba4​4f49f92f36​f3c66a545b​df528eb010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PCR-2026-07-18-01 full real-data rerun</w:t>
            </w:r>
          </w:p>
        </w:tc>
        <w:tc>
          <w:tcPr>
            <w:tcW w:type="dxa" w:w="3053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selected model family can change across conditions; therefore the Main contrast is pipeline sensitivity, not a method-matched feature effect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A03</w:t>
            </w:r>
          </w:p>
        </w:tc>
        <w:tc>
          <w:tcPr>
            <w:tcW w:type="dxa" w:w="280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A01 model/​q grids; target windows 0–20% train, 20–35% calibration, 35–55% validation, &gt;55% test</w:t>
            </w:r>
          </w:p>
        </w:tc>
        <w:tc>
          <w:tcPr>
            <w:tcW w:type="dxa" w:w="2520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Online candidate preferred only if validation coverage is at least 0.90; otherwise coverage-first/​width selection</w:t>
            </w:r>
          </w:p>
        </w:tc>
        <w:tc>
          <w:tcPr>
            <w:tcW w:type="dxa" w:w="316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experiments/​exp003_​cross_​protocol/​plan.md; 2026-05-20; e2ed4beba4​4f49f92f36​f3c66a545b​df528eb010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PCR-2026-07-18-01 full real-data rerun</w:t>
            </w:r>
          </w:p>
        </w:tc>
        <w:tc>
          <w:tcPr>
            <w:tcW w:type="dxa" w:w="3053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Negative transfer results were retained; no broad-transfer success claim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A04</w:t>
            </w:r>
          </w:p>
        </w:tc>
        <w:tc>
          <w:tcPr>
            <w:tcW w:type="dxa" w:w="280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Bias grid −0.05, −0.02, −0.01, −0.005, 0, +0.005, +0.01, +0.02, +0.05</w:t>
            </w:r>
          </w:p>
        </w:tc>
        <w:tc>
          <w:tcPr>
            <w:tcW w:type="dxa" w:w="2520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 tuning or radius refit after bias injection</w:t>
            </w:r>
          </w:p>
        </w:tc>
        <w:tc>
          <w:tcPr>
            <w:tcW w:type="dxa" w:w="316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experiments/​exp004_​stress_​failure/​plan.md; 2026-05-20; e2ed4beba4​4f49f92f36​f3c66a545b​df528eb010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PCR-2026-07-18-01 full real-data rerun</w:t>
            </w:r>
          </w:p>
        </w:tc>
        <w:tc>
          <w:tcPr>
            <w:tcW w:type="dxa" w:w="3053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Prediction-bias robustness screen only; not evidence of a physical degradation mechanism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A05</w:t>
            </w:r>
          </w:p>
        </w:tc>
        <w:tc>
          <w:tcPr>
            <w:tcW w:type="dxa" w:w="280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 warmups, 300 timed repetitions, 512 real rows</w:t>
            </w:r>
          </w:p>
        </w:tc>
        <w:tc>
          <w:tcPr>
            <w:tcW w:type="dxa" w:w="2520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Fixed timed path; no model selection</w:t>
            </w:r>
          </w:p>
        </w:tc>
        <w:tc>
          <w:tcPr>
            <w:tcW w:type="dxa" w:w="316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experiments/​exp005_​edge/​plan.md; 2026-05-20; e2ed4beba4​4f49f92f36​f3c66a545b​df528eb010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PCR-2026-07-18-01 full real-data rerun</w:t>
            </w:r>
          </w:p>
        </w:tc>
        <w:tc>
          <w:tcPr>
            <w:tcW w:type="dxa" w:w="3053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Host amortized throughput only; explicitly excluded from edge/​deployment evidence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A06</w:t>
            </w:r>
          </w:p>
        </w:tc>
        <w:tc>
          <w:tcPr>
            <w:tcW w:type="dxa" w:w="280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1,000 cell-block resamples; q grid 0.90–1.00; GB quantiles 0.05/​0.95 with 250 trees, depth 3, learning rate 0.035; NGBoost 300 estimators, learning rate 0.03</w:t>
            </w:r>
          </w:p>
        </w:tc>
        <w:tc>
          <w:tcPr>
            <w:tcW w:type="dxa" w:w="2520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Validation coverage first, then width; contribution positioning fixed before result interpretation</w:t>
            </w:r>
          </w:p>
        </w:tc>
        <w:tc>
          <w:tcPr>
            <w:tcW w:type="dxa" w:w="316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experiments/​exp006_​fpa_​repair/​plan.md; 2026-05-30; 83d81d8c59​c893979c57​ee55b62912​e0051ddc23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experiments/​exp006_​fpa_​repair/​results/​run_​manifest.json; corrected rerun 2026-07-18; code commit d934559297​9d2c929e61​1b54056b41​76e79dbe15</w:t>
            </w:r>
          </w:p>
        </w:tc>
        <w:tc>
          <w:tcPr>
            <w:tcW w:type="dxa" w:w="3053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Closed as a diagnostic comparison rather than method superiority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A07</w:t>
            </w:r>
          </w:p>
        </w:tc>
        <w:tc>
          <w:tcPr>
            <w:tcW w:type="dxa" w:w="280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1,000 block resamples; q/​GB/​NGBoost settings as A06; denominator floor 5</w:t>
            </w:r>
          </w:p>
        </w:tc>
        <w:tc>
          <w:tcPr>
            <w:tcW w:type="dxa" w:w="2520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Validation coverage-first width; inference intervals do not tune q</w:t>
            </w:r>
          </w:p>
        </w:tc>
        <w:tc>
          <w:tcPr>
            <w:tcW w:type="dxa" w:w="316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experiments/​exp007_​fpa_​round2_​repair/​plan.md; 2026-05-30; 83d81d8c59​c893979c57​ee55b62912​e0051ddc23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A07 run manifest; corrected rerun 2026-07-18; code commit d934559297​9d2c929e61​1b54056b41​76e79dbe15</w:t>
            </w:r>
          </w:p>
        </w:tc>
        <w:tc>
          <w:tcPr>
            <w:tcW w:type="dxa" w:w="3053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July repair made target train/​calibration/​validation/​test windows pairwise disjoint and superseded earlier overlapping outputs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A08</w:t>
            </w:r>
          </w:p>
        </w:tc>
        <w:tc>
          <w:tcPr>
            <w:tcW w:type="dxa" w:w="280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1,000 block resamples; denominator floor 5; A07 method settings</w:t>
            </w:r>
          </w:p>
        </w:tc>
        <w:tc>
          <w:tcPr>
            <w:tcW w:type="dxa" w:w="2520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Same-row method comparison; failed cells/​tasks retained</w:t>
            </w:r>
          </w:p>
        </w:tc>
        <w:tc>
          <w:tcPr>
            <w:tcW w:type="dxa" w:w="316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experiments/​exp008_​reliability_​audit/​plan.md; 2026-06-01; ba5080bc38​f9717aca59​19651b22db​141005f95b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A08 run manifest; corrected rerun 2026-07-18; code commit d934559297​9d2c929e61​1b54056b41​76e79dbe15</w:t>
            </w:r>
          </w:p>
        </w:tc>
        <w:tc>
          <w:tcPr>
            <w:tcW w:type="dxa" w:w="3053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July repair preserves cluster multiplicity in cell resampling; thresholds remain illustrative decision cutoffs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A09</w:t>
            </w:r>
          </w:p>
        </w:tc>
        <w:tc>
          <w:tcPr>
            <w:tcW w:type="dxa" w:w="280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1,000 block resamples; denominator floor 5; q grid 0.90–1.00</w:t>
            </w:r>
          </w:p>
        </w:tc>
        <w:tc>
          <w:tcPr>
            <w:tcW w:type="dxa" w:w="2520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Identical rows and coverage-aligned comparisons; common-schema diagnostic added for LNAS</w:t>
            </w:r>
          </w:p>
        </w:tc>
        <w:tc>
          <w:tcPr>
            <w:tcW w:type="dxa" w:w="316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experiments/​exp009_​fpa_​round4_​repair/​plan.md; 2026-06-01; ba5080bc38​f9717aca59​19651b22db​141005f95b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A09 run manifest; corrected rerun 2026-07-18; code commit d934559297​9d2c929e61​1b54056b41​76e79dbe15</w:t>
            </w:r>
          </w:p>
        </w:tc>
        <w:tc>
          <w:tcPr>
            <w:tcW w:type="dxa" w:w="3053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Common-schema cleaning cannot eliminate residual protocol drift; no physical-mechanism attribution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A10</w:t>
            </w:r>
          </w:p>
        </w:tc>
        <w:tc>
          <w:tcPr>
            <w:tcW w:type="dxa" w:w="280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1,000 block resamples; horizons 0/​5/​20; thresholds 0.65/​0.70/​0.75/​0.80/​0.85/​0.90; denominator floor 5; q grid 0.90–1.00</w:t>
            </w:r>
          </w:p>
        </w:tc>
        <w:tc>
          <w:tcPr>
            <w:tcW w:type="dxa" w:w="2520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Validation-only q selection; Bonferroni and BH multiplicity summaries</w:t>
            </w:r>
          </w:p>
        </w:tc>
        <w:tc>
          <w:tcPr>
            <w:tcW w:type="dxa" w:w="316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experiments/​exp010_​hard_​regime_​audit/​plan.md; 2026-06-01; ba5080bc38​f9717aca59​19651b22db​141005f95b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A10 run manifest; corrected rerun 2026-07-18; code commit d934559297​9d2c929e61​1b54056b41​76e79dbe15</w:t>
            </w:r>
          </w:p>
        </w:tc>
        <w:tc>
          <w:tcPr>
            <w:tcW w:type="dxa" w:w="3053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As-used no-recent schema rows containing bookkeeping fields are treated as contaminated and superseded by A11 contrasts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A11</w:t>
            </w:r>
          </w:p>
        </w:tc>
        <w:tc>
          <w:tcPr>
            <w:tcW w:type="dxa" w:w="280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control-column seed 1033; 1,000 paired cell-block resamples; family size 5×7×7=245; family-wise alpha 0.05; denominator floor 5; GB settings as A06</w:t>
            </w:r>
          </w:p>
        </w:tc>
        <w:tc>
          <w:tcPr>
            <w:tcW w:type="dxa" w:w="2520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Identical task rows; Bonferroni-adjusted normal intervals from block-bootstrap SE; exact paired-cell sign test at nonzero zero-SE boundaries</w:t>
            </w:r>
          </w:p>
        </w:tc>
        <w:tc>
          <w:tcPr>
            <w:tcW w:type="dxa" w:w="316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experiments/​exp011_​original_​paper_​substance/​plan.md; 2026-06-01; ba5080bc38​f9717aca59​19651b22db​141005f95b</w:t>
            </w:r>
          </w:p>
        </w:tc>
        <w:tc>
          <w:tcPr>
            <w:tcW w:type="dxa" w:w="2448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A11 run manifest; corrected rerun 2026-07-18; code commit d934559297​9d2c929e61​1b54056b41​76e79dbe15</w:t>
            </w:r>
          </w:p>
        </w:tc>
        <w:tc>
          <w:tcPr>
            <w:tcW w:type="dxa" w:w="3053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July repair replaced the earlier duplicated-fit control with an independently permuted log-cycle control. Because that single-draw control is non-null in LCAL/​TCAL, it is a veto only and blocks mechanism attribution</w:t>
            </w:r>
          </w:p>
        </w:tc>
      </w:tr>
      <w:tr>
        <w:trPr>
          <w:cantSplit w:val="true"/>
          <w:trHeight w:hRule="atLeast"/>
        </w:trPr>
        <w:tc>
          <w:tcPr>
            <w:tcW w:type="dxa" w:w="792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A12</w:t>
            </w:r>
          </w:p>
        </w:tc>
        <w:tc>
          <w:tcPr>
            <w:tcW w:type="dxa" w:w="280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Seed 42; 1,000 block resamples; denominator floor 5; bandwidth grid 0.25, 0.50, 1, 2, 4, infinity</w:t>
            </w:r>
          </w:p>
        </w:tc>
        <w:tc>
          <w:tcPr>
            <w:tcW w:type="dxa" w:w="2520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Validation-only coverage-first width selection; test metrics excluded</w:t>
            </w:r>
          </w:p>
        </w:tc>
        <w:tc>
          <w:tcPr>
            <w:tcW w:type="dxa" w:w="316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experiments/​exp012_​shift_​adaptive_​cp_​comparator/​plan.md; 2026-06-01; ba5080bc38​f9717aca59​19651b22db​141005f95b</w:t>
            </w:r>
          </w:p>
        </w:tc>
        <w:tc>
          <w:tcPr>
            <w:tcW w:type="dxa" w:w="2448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A12 run manifest; corrected rerun 2026-07-18; code commit d934559297​9d2c929e61​1b54056b41​76e79dbe15</w:t>
            </w:r>
          </w:p>
        </w:tc>
        <w:tc>
          <w:tcPr>
            <w:tcW w:type="dxa" w:w="3053"/>
            <w:shd w:fill="F3F5F6"/>
            <w:vAlign w:val="top"/>
            <w:tcMar>
              <w:top w:w="34" w:type="dxa"/>
              <w:start w:w="48" w:type="dxa"/>
              <w:bottom w:w="34" w:type="dxa"/>
              <w:end w:w="48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implemented comparator is localized residual weighting, not a density-ratio or guarantee-bearing shift-adaptive conformal method; one point-coverage failure recovers, no lower-bound shortfall recovers</w:t>
            </w:r>
          </w:p>
        </w:tc>
      </w:tr>
    </w:tbl>
    <w:p>
      <w:pPr>
        <w:spacing w:after="0"/>
      </w:pPr>
    </w:p>
    <w:p>
      <w:pPr>
        <w:keepNext/>
        <w:spacing w:before="80" w:after="80"/>
      </w:pPr>
      <w:r>
        <w:rPr>
          <w:rFonts w:ascii="Arial" w:hAnsi="Arial"/>
          <w:b/>
          <w:color w:val="18566B"/>
          <w:sz w:val="22"/>
        </w:rPr>
        <w:t>Provenance boundary</w:t>
      </w:r>
    </w:p>
    <w:p>
      <w:pPr>
        <w:spacing w:before="0" w:after="100" w:line="245" w:lineRule="auto"/>
      </w:pPr>
      <w:r>
        <w:rPr>
          <w:rFonts w:ascii="Arial" w:hAnsi="Arial"/>
          <w:sz w:val="18"/>
        </w:rPr>
        <w:t>The plan-archive commits above precede the governed July 2026 rerun that supplies the current manuscript values. They establish that component analysis rules existed before the corrected rerun; they do not make the integrated six-gate synthesis prospectively registered. The earlier exploratory processed CSV could not be recovered byte-for-byte. The paper therefore reports only the corrected rerun regenerated from preserved raw holdings under Python 3.11.15, NumPy 2.2.6, pandas 2.3.3, and scikit-learn 1.7.2. Supplementary claims must be interpreted with the same case-bounded scope as the manuscript.</w:t>
      </w:r>
    </w:p>
    <w:sectPr w:rsidR="00FC693F" w:rsidRPr="0006063C" w:rsidSect="00034616">
      <w:footerReference w:type="default" r:id="rId9"/>
      <w:pgSz w:w="15840" w:h="12240" w:orient="landscape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59666C"/>
        <w:sz w:val="15"/>
      </w:rPr>
      <w:t xml:space="preserve">Supplementary Material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Case implementation and provenance</dc:title>
  <dc:subject>Six-gate audit implementation and provenance</dc:subject>
  <dc:creator>Qianning Liu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