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Times New Roman" w:hAnsi="Times New Roman"/>
          <w:b/>
          <w:sz w:val="30"/>
        </w:rPr>
        <w:t>Highlights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Six evidence gates audit conformal SOH benchmark integrity.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Recent-label removal reduces coverage in five cross-dataset tasks.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Schema-bundle sensitivity changes false acceptance at an SOH threshold.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An independent control blocks unsupported mechanism attribution.</w:t>
      </w:r>
    </w:p>
    <w:p>
      <w:pPr>
        <w:pStyle w:val="ListBullet"/>
        <w:spacing w:after="80" w:line="240" w:lineRule="auto"/>
      </w:pPr>
      <w:r>
        <w:rPr>
          <w:rFonts w:ascii="Times New Roman" w:hAnsi="Times New Roman"/>
          <w:sz w:val="22"/>
        </w:rPr>
        <w:t>Decision audits report both error directions, cells, and denominators.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