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Cover Letter</w:t>
      </w:r>
    </w:p>
    <w:p>
      <w:pPr>
        <w:spacing w:after="30"/>
      </w:pPr>
      <w:r>
        <w:rPr>
          <w:rFonts w:ascii="Times New Roman" w:hAnsi="Times New Roman"/>
          <w:b/>
          <w:sz w:val="21"/>
        </w:rPr>
        <w:t>To:</w:t>
      </w:r>
      <w:r>
        <w:rPr>
          <w:rFonts w:ascii="Times New Roman" w:hAnsi="Times New Roman"/>
          <w:sz w:val="21"/>
        </w:rPr>
        <w:t xml:space="preserve"> Dr. Leandro Iannacone, Managing Editor</w:t>
      </w:r>
    </w:p>
    <w:p>
      <w:pPr>
        <w:spacing w:after="30"/>
      </w:pPr>
      <w:r>
        <w:rPr>
          <w:rFonts w:ascii="Times New Roman" w:hAnsi="Times New Roman"/>
          <w:b/>
          <w:sz w:val="21"/>
        </w:rPr>
        <w:t>Journal:</w:t>
      </w:r>
      <w:r>
        <w:rPr>
          <w:rFonts w:ascii="Times New Roman" w:hAnsi="Times New Roman"/>
          <w:sz w:val="21"/>
        </w:rPr>
        <w:t xml:space="preserve"> Reliability Engineering &amp; System Safety</w:t>
      </w:r>
    </w:p>
    <w:p>
      <w:pPr>
        <w:spacing w:after="30"/>
      </w:pPr>
      <w:r>
        <w:rPr>
          <w:rFonts w:ascii="Times New Roman" w:hAnsi="Times New Roman"/>
          <w:b/>
          <w:sz w:val="21"/>
        </w:rPr>
        <w:t>Date:</w:t>
      </w:r>
      <w:r>
        <w:rPr>
          <w:rFonts w:ascii="Times New Roman" w:hAnsi="Times New Roman"/>
          <w:sz w:val="21"/>
        </w:rPr>
        <w:t xml:space="preserve"> August 10, 2026</w:t>
      </w:r>
    </w:p>
    <w:p>
      <w:pPr>
        <w:spacing w:after="120"/>
        <w:jc w:val="both"/>
      </w:pPr>
      <w:r>
        <w:rPr>
          <w:rFonts w:ascii="Times New Roman" w:hAnsi="Times New Roman"/>
          <w:sz w:val="21"/>
        </w:rPr>
        <w:t>Dear Dr. Iannacone,</w:t>
      </w:r>
    </w:p>
    <w:p>
      <w:pPr>
        <w:spacing w:after="120"/>
        <w:jc w:val="both"/>
      </w:pPr>
      <w:r>
        <w:rPr>
          <w:rFonts w:ascii="Times New Roman" w:hAnsi="Times New Roman"/>
          <w:sz w:val="21"/>
        </w:rPr>
        <w:t>We are pleased to submit our manuscript entitled "</w:t>
      </w:r>
      <w:r>
        <w:rPr>
          <w:rFonts w:ascii="Times New Roman" w:hAnsi="Times New Roman"/>
          <w:b/>
          <w:sz w:val="21"/>
        </w:rPr>
        <w:t>A Benchmark-Integrity Audit Protocol for Conformal Battery State-of-Health Evaluation: Recent-Label Dependence, Schema-Bundle Sensitivity, and Threshold-Decision Risk</w:t>
      </w:r>
      <w:r>
        <w:rPr>
          <w:rFonts w:ascii="Times New Roman" w:hAnsi="Times New Roman"/>
          <w:sz w:val="21"/>
        </w:rPr>
        <w:t>" for consideration as a Research Paper in *Reliability Engineering &amp; System Safety*.</w:t>
      </w:r>
    </w:p>
    <w:p>
      <w:pPr>
        <w:spacing w:after="120"/>
        <w:jc w:val="both"/>
      </w:pPr>
      <w:r>
        <w:rPr>
          <w:rFonts w:ascii="Times New Roman" w:hAnsi="Times New Roman"/>
          <w:sz w:val="21"/>
        </w:rPr>
        <w:t>This manuscript is a fresh resubmission prepared in response to your decision letter regarding our previous submission (former title: "*Recent-Label Dependence in Cross-Dataset Conformal SOH Evaluation: A Benchmark-Integrity Case Study*"), in which you kindly encouraged us to overcome identified limitations and resubmit as a new manuscript. Following your guidance, we have substantially revised and restructured the work directly within the manuscript body (with no rebuttal document or marked text attached):</w:t>
      </w:r>
    </w:p>
    <w:p>
      <w:pPr>
        <w:pStyle w:val="ListBullet"/>
        <w:spacing w:after="80"/>
        <w:ind w:left="403" w:hanging="259"/>
      </w:pPr>
      <w:r>
        <w:rPr>
          <w:rFonts w:ascii="Times New Roman" w:hAnsi="Times New Roman"/>
          <w:b/>
          <w:sz w:val="21"/>
        </w:rPr>
        <w:t>Expanded Recent Literature &amp; Domain Context:</w:t>
      </w:r>
      <w:r>
        <w:rPr>
          <w:rFonts w:ascii="Times New Roman" w:hAnsi="Times New Roman"/>
          <w:sz w:val="21"/>
        </w:rPr>
        <w:t xml:space="preserve"> We have incorporated a substantial body of recent literature from *Reliability Engineering &amp; System Safety*, *IEEE Transactions on Reliability*, and related prognostics and health management (PHM) venues. This establishes a comprehensive context spanning fundamental conformal prediction methodology, non-exchangeable uncertainty quantification, and battery state-of-health (SOH) reliability applications.</w:t>
      </w:r>
    </w:p>
    <w:p>
      <w:pPr>
        <w:pStyle w:val="ListBullet"/>
        <w:spacing w:after="80"/>
        <w:ind w:left="403" w:hanging="259"/>
      </w:pPr>
      <w:r>
        <w:rPr>
          <w:rFonts w:ascii="Times New Roman" w:hAnsi="Times New Roman"/>
          <w:b/>
          <w:sz w:val="21"/>
        </w:rPr>
        <w:t>Clarified SOTA Contribution &amp; RESS Scope:</w:t>
      </w:r>
      <w:r>
        <w:rPr>
          <w:rFonts w:ascii="Times New Roman" w:hAnsi="Times New Roman"/>
          <w:sz w:val="21"/>
        </w:rPr>
        <w:t xml:space="preserve"> We have repositioned the contribution from a single case study into a generalizable, protocol-forward benchmark-integrity audit framework. The paper explicitly demonstrates how undeclared measurement conditions and benchmark leakage translate directly into threshold-decision risks (false-acceptance and false-rejection rates) in safety-critical battery maintenance.</w:t>
      </w:r>
    </w:p>
    <w:p>
      <w:pPr>
        <w:pStyle w:val="ListBullet"/>
        <w:spacing w:after="80"/>
        <w:ind w:left="403" w:hanging="259"/>
      </w:pPr>
      <w:r>
        <w:rPr>
          <w:rFonts w:ascii="Times New Roman" w:hAnsi="Times New Roman"/>
          <w:b/>
          <w:sz w:val="21"/>
        </w:rPr>
        <w:t>Refined Title &amp; Structure:</w:t>
      </w:r>
      <w:r>
        <w:rPr>
          <w:rFonts w:ascii="Times New Roman" w:hAnsi="Times New Roman"/>
          <w:sz w:val="21"/>
        </w:rPr>
        <w:t xml:space="preserve"> The title and narrative have been updated to emphasize our six-gate audit protocol, providing transparent, claim-bounding rules for evaluating uncertainty quantification models under real-world distribution shift.</w:t>
      </w:r>
    </w:p>
    <w:p>
      <w:pPr>
        <w:spacing w:after="120"/>
        <w:jc w:val="both"/>
      </w:pPr>
      <w:r>
        <w:rPr>
          <w:rFonts w:ascii="Times New Roman" w:hAnsi="Times New Roman"/>
          <w:sz w:val="21"/>
        </w:rPr>
        <w:t>In this work, data-driven battery SOH prognostics increasingly inform maintenance decisions, and conformal prediction offers finite-sample coverage guarantees for those decisions. However, cross-dataset benchmarks often conceal undeclared prediction-time information sets. We present a formal six-gate protocol covering prediction-time information sets, split integrity, cell-aware uncertainty, independent negative controls, threshold-decision risk, and localization sensitivity. We demonstrate the protocol across 13,831 analysis-eligible cycle-level records from the CALCE, NASA, and Oxford battery repositories.</w:t>
      </w:r>
    </w:p>
    <w:p>
      <w:pPr>
        <w:spacing w:after="120"/>
        <w:jc w:val="both"/>
      </w:pPr>
      <w:r>
        <w:rPr>
          <w:rFonts w:ascii="Times New Roman" w:hAnsi="Times New Roman"/>
          <w:sz w:val="21"/>
        </w:rPr>
        <w:t>The protocol yields three core findings of direct interest to the reliability community:</w:t>
      </w:r>
    </w:p>
    <w:p>
      <w:pPr>
        <w:pStyle w:val="ListBullet"/>
        <w:spacing w:after="80"/>
        <w:ind w:left="403" w:hanging="259"/>
      </w:pPr>
      <w:r>
        <w:rPr>
          <w:rFonts w:ascii="Times New Roman" w:hAnsi="Times New Roman"/>
          <w:b/>
          <w:sz w:val="21"/>
        </w:rPr>
        <w:t>Load-bearing label dependence:</w:t>
      </w:r>
      <w:r>
        <w:rPr>
          <w:rFonts w:ascii="Times New Roman" w:hAnsi="Times New Roman"/>
          <w:sz w:val="21"/>
        </w:rPr>
        <w:t xml:space="preserve"> Access to recent measured SOH operates as a critical, unstated prediction-time condition; removing it leads to coverage drops of up to 60.4 percentage points across five cross-dataset evaluation tasks.</w:t>
      </w:r>
    </w:p>
    <w:p>
      <w:pPr>
        <w:pStyle w:val="ListBullet"/>
        <w:spacing w:after="80"/>
        <w:ind w:left="403" w:hanging="259"/>
      </w:pPr>
      <w:r>
        <w:rPr>
          <w:rFonts w:ascii="Times New Roman" w:hAnsi="Times New Roman"/>
          <w:b/>
          <w:sz w:val="21"/>
        </w:rPr>
        <w:t>Bounded schema sensitivity:</w:t>
      </w:r>
      <w:r>
        <w:rPr>
          <w:rFonts w:ascii="Times New Roman" w:hAnsi="Times New Roman"/>
          <w:sz w:val="21"/>
        </w:rPr>
        <w:t xml:space="preserve"> Feature-schema variations exert bounded, task-specific effects on decision risk (e.g., raising false acceptance at the 0.90 SOH threshold by 100 percentage points in the leave-NASA task, while an opposite-direction leave-CALCE contrast does not pass correction).</w:t>
      </w:r>
    </w:p>
    <w:p>
      <w:pPr>
        <w:pStyle w:val="ListBullet"/>
        <w:spacing w:after="80"/>
        <w:ind w:left="403" w:hanging="259"/>
      </w:pPr>
      <w:r>
        <w:rPr>
          <w:rFonts w:ascii="Times New Roman" w:hAnsi="Times New Roman"/>
          <w:b/>
          <w:sz w:val="21"/>
        </w:rPr>
        <w:t>Threshold-decision risk linkage:</w:t>
      </w:r>
      <w:r>
        <w:rPr>
          <w:rFonts w:ascii="Times New Roman" w:hAnsi="Times New Roman"/>
          <w:sz w:val="21"/>
        </w:rPr>
        <w:t xml:space="preserve"> Interval coverage alone is insufficient to certify operational safety; the protocol links coverage to false-acceptance and false-rejection rates with small-denominator suppression to protect decision integrity.</w:t>
      </w:r>
    </w:p>
    <w:p>
      <w:pPr>
        <w:spacing w:after="120"/>
        <w:jc w:val="both"/>
      </w:pPr>
      <w:r>
        <w:rPr>
          <w:rFonts w:ascii="Times New Roman" w:hAnsi="Times New Roman"/>
          <w:sz w:val="21"/>
        </w:rPr>
        <w:t>We confirm that this manuscript has not been published elsewhere and is not under consideration by another journal. All authors have approved the manuscript and agree with its submission. We have no conflicts of interest to disclose. All data, code, and execution manifests underlying the reported results are publicly available in our open replication repository.</w:t>
      </w:r>
    </w:p>
    <w:p>
      <w:pPr>
        <w:spacing w:after="120"/>
        <w:jc w:val="both"/>
      </w:pPr>
      <w:r>
        <w:rPr>
          <w:rFonts w:ascii="Times New Roman" w:hAnsi="Times New Roman"/>
          <w:sz w:val="21"/>
        </w:rPr>
        <w:t>Thank you for your time and consideration.</w:t>
      </w:r>
    </w:p>
    <w:p>
      <w:pPr>
        <w:spacing w:after="280" w:before="200"/>
      </w:pPr>
      <w:r>
        <w:rPr>
          <w:rFonts w:ascii="Times New Roman" w:hAnsi="Times New Roman"/>
          <w:sz w:val="21"/>
        </w:rPr>
        <w:t>Sincerely,</w:t>
      </w:r>
    </w:p>
    <w:p>
      <w:pPr>
        <w:keepLines/>
        <w:spacing w:after="0"/>
      </w:pPr>
      <w:r>
        <w:rPr>
          <w:rFonts w:ascii="Times New Roman" w:hAnsi="Times New Roman"/>
          <w:b/>
          <w:sz w:val="21"/>
        </w:rPr>
        <w:t>Qianning Liu</w:t>
      </w:r>
      <w:r>
        <w:rPr>
          <w:rFonts w:ascii="Times New Roman" w:hAnsi="Times New Roman"/>
          <w:sz w:val="21"/>
        </w:rPr>
        <w:t xml:space="preserve"> (corresponding author)</w:t>
      </w:r>
    </w:p>
    <w:p>
      <w:pPr>
        <w:keepLines/>
        <w:spacing w:after="0"/>
      </w:pPr>
      <w:r>
        <w:rPr>
          <w:rFonts w:ascii="Times New Roman" w:hAnsi="Times New Roman"/>
          <w:sz w:val="21"/>
        </w:rPr>
        <w:t>School of Statistics and Data Science</w:t>
      </w:r>
    </w:p>
    <w:p>
      <w:pPr>
        <w:keepLines/>
        <w:spacing w:after="0"/>
      </w:pPr>
      <w:r>
        <w:rPr>
          <w:rFonts w:ascii="Times New Roman" w:hAnsi="Times New Roman"/>
          <w:sz w:val="21"/>
        </w:rPr>
        <w:t>Key Laboratory of Data Science in Finance and Economics</w:t>
      </w:r>
    </w:p>
    <w:p>
      <w:pPr>
        <w:keepLines/>
        <w:spacing w:after="0"/>
      </w:pPr>
      <w:r>
        <w:rPr>
          <w:rFonts w:ascii="Times New Roman" w:hAnsi="Times New Roman"/>
          <w:sz w:val="21"/>
        </w:rPr>
        <w:t>Jiangxi University of Finance and Economics, Nanchang, China</w:t>
      </w:r>
    </w:p>
    <w:p>
      <w:pPr>
        <w:keepLines/>
        <w:spacing w:after="0"/>
      </w:pPr>
      <w:r>
        <w:rPr>
          <w:rFonts w:ascii="Times New Roman" w:hAnsi="Times New Roman"/>
          <w:sz w:val="21"/>
        </w:rPr>
        <w:t>Email: liuqianning@jxufe.edu.cn</w:t>
      </w:r>
    </w:p>
    <w:sectPr w:rsidR="00FC693F" w:rsidRPr="0006063C" w:rsidSect="00034616">
      <w:pgSz w:w="12240" w:h="15840"/>
      <w:pgMar w:top="1037" w:right="1267" w:bottom="1037"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 Reliability Engineering &amp; System Safety</dc:title>
  <dc:subject/>
  <dc:creator>Qianning Liu</dc:creator>
  <cp:keywords/>
  <dc:description>generated by python-docx</dc:description>
  <cp:lastModifiedBy/>
  <cp:revision>1</cp:revision>
  <dcterms:created xsi:type="dcterms:W3CDTF">2013-12-23T23:15:00Z</dcterms:created>
  <dcterms:modified xsi:type="dcterms:W3CDTF">2013-12-23T23:15:00Z</dcterms:modified>
  <cp:category/>
</cp:coreProperties>
</file>