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0466d076076052b43e35d09c26e4f553c4ea416"/>
    <w:p>
      <w:pPr>
        <w:pStyle w:val="Heading1"/>
      </w:pPr>
      <w:r>
        <w:t xml:space="preserve">Automated Detection and Morphometric Analysis of Collembola in Ultra-High-Resolution Microscope Images Using Tiled Deep Learning</w:t>
      </w:r>
    </w:p>
    <w:p>
      <w:pPr>
        <w:pStyle w:val="FirstParagraph"/>
      </w:pPr>
      <w:r>
        <w:rPr>
          <w:b/>
          <w:bCs/>
        </w:rPr>
        <w:t xml:space="preserve">Draft Scientific Paper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Accurate quantification and morphometric analysis of soil microarthropods, particularly Collembola (springtails), is essential for ecological monitoring and toxicological studies but traditionally requires labor-intensive manual counting and measurement. We present an automated pipeline combining tiled object detection with deep learning and morphometric analysis for processing ultra-high-resolution microscope images (10,408 × 10,338 pixels, ~108 megapixels). Our approach tiles input images into overlapping 1,280 × 1,280 pixel patches, applies YOLO11n object detection with global non-maximum suppression for merging detections, and performs rotation-invariant morphometric measurements using eigenvalue-based ellipse fitting. The system achieves 99.2% mAP@0.5, 97.8% precision, and 97.1% recall on a dataset of 14,125 manually annotated organisms across 20 microscope plates. Compared to direct image downscaling approaches (39.6% mAP@0.5), our tiled method achieves 2.5× improvement while preserving fine-scale details. The fast ellipse-based measurement method processes 178 organisms per second, providing body length, width, area, and volume estimates with full rotation invariance. This 186× speedup over segmentation-based approaches makes large-scale ecological studies feasible. The complete pipeline processes a single 10K × 10K plate containing ~750 organisms in approximately 3 minutes on a single GPU. Our open-source implementation provides researchers with an efficient, reproducible tool for high-throughput analysis of soil microarthropod populations.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Collembola, object detection, YOLO, tiled inference, morphometrics, deep learning, automated counting, soil ecology, springtails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t xml:space="preserve">1. Introduction</w:t>
      </w:r>
    </w:p>
    <w:bookmarkStart w:id="10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Collembola (springtails) are among the most abundant soil microarthropods globally, playing crucial roles in nutrient cycling, decomposition, and soil structure formation (Rusek, 1998; Hopkin, 2007). Their sensitivity to environmental stressors makes them valuable bioindicators for soil health monitoring and ecotoxicological studies (Fountain &amp; Hopkin, 2005). Traditional ecological surveys of Collembola require microscope-based identification and counting, which is time-consuming and subject to observer fatigue and inter-observer variability.</w:t>
      </w:r>
    </w:p>
    <w:bookmarkEnd w:id="10"/>
    <w:bookmarkStart w:id="11" w:name="Xcf2aab84e9a9a718725471fc84db894797946f3"/>
    <w:p>
      <w:pPr>
        <w:pStyle w:val="Heading3"/>
      </w:pPr>
      <w:r>
        <w:t xml:space="preserve">1.2 Challenges in Automated Collembola Detection</w:t>
      </w:r>
    </w:p>
    <w:p>
      <w:pPr>
        <w:pStyle w:val="FirstParagraph"/>
      </w:pPr>
      <w:r>
        <w:t xml:space="preserve">Ultra-high-resolution microscope images (&gt;100 megapixels) present unique computational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constraints</w:t>
      </w:r>
      <w:r>
        <w:t xml:space="preserve">: Full-resolution images exceed typical GPU memory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 scale</w:t>
      </w:r>
      <w:r>
        <w:t xml:space="preserve">: Collembola bodies span 100-3,500 μm in length, appearing as small objects (50-400 pixels) within vast images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Detection accuracy</w:t>
      </w:r>
      <w:r>
        <w:t xml:space="preserve">: Downscaling images to standard deep learning input sizes (e.g., 640×640 or 1280×1280 pixels) causes severe information loss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Morphometric precision</w:t>
      </w:r>
      <w:r>
        <w:t xml:space="preserve">: Accurate body measurements require preserving original image resolution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Throughput requirements</w:t>
      </w:r>
      <w:r>
        <w:t xml:space="preserve">: Ecological studies may require processing hundreds of plates</w:t>
      </w:r>
    </w:p>
    <w:bookmarkEnd w:id="11"/>
    <w:bookmarkStart w:id="12" w:name="previous-approaches-and-limitations"/>
    <w:p>
      <w:pPr>
        <w:pStyle w:val="Heading3"/>
      </w:pPr>
      <w:r>
        <w:t xml:space="preserve">1.3 Previous Approaches and Limitations</w:t>
      </w:r>
    </w:p>
    <w:p>
      <w:pPr>
        <w:pStyle w:val="FirstParagraph"/>
      </w:pPr>
      <w:r>
        <w:t xml:space="preserve">Prior automated approaches for soil microarthropod detection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Classical computer vision</w:t>
      </w:r>
      <w:r>
        <w:t xml:space="preserve">: Threshold-based segmentation and template matching (Bednarska et al., 2013) suffer from poor generalization across varying lighting conditions and organism poses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Downscaled deep learning</w:t>
      </w:r>
      <w:r>
        <w:t xml:space="preserve">: Resizing 10K×10K images to 1280×1280 pixels results in severe detail loss, yielding only 39.6% mAP@0.5 in our preliminary experiments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Segmentation-based methods</w:t>
      </w:r>
      <w:r>
        <w:t xml:space="preserve">: Segment Anything Model (SAM) provides high-accuracy segmentation but processes only ~1 organism per second, making large-scale studies impractical</w:t>
      </w:r>
    </w:p>
    <w:bookmarkEnd w:id="12"/>
    <w:bookmarkStart w:id="13" w:name="our-contribution"/>
    <w:p>
      <w:pPr>
        <w:pStyle w:val="Heading3"/>
      </w:pPr>
      <w:r>
        <w:t xml:space="preserve">1.4 Our Contribution</w:t>
      </w:r>
    </w:p>
    <w:p>
      <w:pPr>
        <w:pStyle w:val="FirstParagraph"/>
      </w:pPr>
      <w:r>
        <w:t xml:space="preserve">We present a novel tiled detection and measurement pipeline that:</w:t>
      </w:r>
    </w:p>
    <w:p>
      <w:pPr>
        <w:pStyle w:val="Compact"/>
        <w:numPr>
          <w:ilvl w:val="0"/>
          <w:numId w:val="1003"/>
        </w:numPr>
      </w:pPr>
      <w:r>
        <w:t xml:space="preserve">Maintains original image resolution through overlapping tile processing</w:t>
      </w:r>
    </w:p>
    <w:p>
      <w:pPr>
        <w:pStyle w:val="Compact"/>
        <w:numPr>
          <w:ilvl w:val="0"/>
          <w:numId w:val="1003"/>
        </w:numPr>
      </w:pPr>
      <w:r>
        <w:t xml:space="preserve">Achieves 99.2% mAP@0.5 through optimized YOLO11n architecture</w:t>
      </w:r>
    </w:p>
    <w:p>
      <w:pPr>
        <w:pStyle w:val="Compact"/>
        <w:numPr>
          <w:ilvl w:val="0"/>
          <w:numId w:val="1003"/>
        </w:numPr>
      </w:pPr>
      <w:r>
        <w:t xml:space="preserve">Provides rotation-invariant morphometric measurements at 178 organisms/second</w:t>
      </w:r>
    </w:p>
    <w:p>
      <w:pPr>
        <w:pStyle w:val="Compact"/>
        <w:numPr>
          <w:ilvl w:val="0"/>
          <w:numId w:val="1003"/>
        </w:numPr>
      </w:pPr>
      <w:r>
        <w:t xml:space="preserve">Enables end-to-end processing of ~750 organisms in 3 minutes per plate</w:t>
      </w:r>
    </w:p>
    <w:p>
      <w:pPr>
        <w:pStyle w:val="Compact"/>
        <w:numPr>
          <w:ilvl w:val="0"/>
          <w:numId w:val="1003"/>
        </w:numPr>
      </w:pPr>
      <w:r>
        <w:t xml:space="preserve">Offers an open-source, reproducible implementation for ecological research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0" w:name="methods"/>
    <w:p>
      <w:pPr>
        <w:pStyle w:val="Heading2"/>
      </w:pPr>
      <w:r>
        <w:t xml:space="preserve">2. Methods</w:t>
      </w:r>
    </w:p>
    <w:bookmarkStart w:id="18" w:name="dataset-preparation"/>
    <w:p>
      <w:pPr>
        <w:pStyle w:val="Heading3"/>
      </w:pPr>
      <w:r>
        <w:t xml:space="preserve">2.1 Dataset Preparation</w:t>
      </w:r>
    </w:p>
    <w:bookmarkStart w:id="15" w:name="image-acquisition"/>
    <w:p>
      <w:pPr>
        <w:pStyle w:val="Heading4"/>
      </w:pPr>
      <w:r>
        <w:t xml:space="preserve">2.1.1 Image Acquisition</w:t>
      </w:r>
    </w:p>
    <w:p>
      <w:pPr>
        <w:pStyle w:val="FirstParagraph"/>
      </w:pPr>
      <w:r>
        <w:t xml:space="preserve">Collembola specimens were collected from soil samples and photographed using a Leica microscope equipped with a digital camera. Images were captured at consistent magnification, yielding 10,408 × 10,338 pixel resolution (~108 megapixels) with a calibrated scale of 8.57 μm/pixel.</w:t>
      </w:r>
    </w:p>
    <w:bookmarkEnd w:id="15"/>
    <w:bookmarkStart w:id="16" w:name="annotation-protocol"/>
    <w:p>
      <w:pPr>
        <w:pStyle w:val="Heading4"/>
      </w:pPr>
      <w:r>
        <w:t xml:space="preserve">2.1.2 Annotation Protocol</w:t>
      </w:r>
    </w:p>
    <w:p>
      <w:pPr>
        <w:pStyle w:val="FirstParagraph"/>
      </w:pPr>
      <w:r>
        <w:t xml:space="preserve">Ground-truth annotations were created using ImageJ ROI (Region of Interest) tools by trained ecologists. Annotations followed a</w:t>
      </w:r>
      <w:r>
        <w:t xml:space="preserve"> </w:t>
      </w:r>
      <w:r>
        <w:t xml:space="preserve">“body-only”</w:t>
      </w:r>
      <w:r>
        <w:t xml:space="preserve"> </w:t>
      </w:r>
      <w:r>
        <w:t xml:space="preserve">protocol, excluding antennae and furca to standardize measurements across varying organism orientations and preservation states. A total of 14,125 annotations were collected across 20 microscope plates:</w:t>
      </w:r>
    </w:p>
    <w:p>
      <w:pPr>
        <w:pStyle w:val="Compact"/>
        <w:numPr>
          <w:ilvl w:val="0"/>
          <w:numId w:val="1004"/>
        </w:numPr>
      </w:pPr>
      <w:r>
        <w:t xml:space="preserve">15 plates from Fe₂O₃ treatment group</w:t>
      </w:r>
    </w:p>
    <w:p>
      <w:pPr>
        <w:pStyle w:val="Compact"/>
        <w:numPr>
          <w:ilvl w:val="0"/>
          <w:numId w:val="1004"/>
        </w:numPr>
      </w:pPr>
      <w:r>
        <w:t xml:space="preserve">5 plates from microplastic treatment group</w:t>
      </w:r>
    </w:p>
    <w:p>
      <w:pPr>
        <w:pStyle w:val="Compact"/>
        <w:numPr>
          <w:ilvl w:val="0"/>
          <w:numId w:val="1004"/>
        </w:numPr>
      </w:pPr>
      <w:r>
        <w:t xml:space="preserve">Mean organisms per plate: 706 (range: 450-980)</w:t>
      </w:r>
    </w:p>
    <w:bookmarkEnd w:id="16"/>
    <w:bookmarkStart w:id="17" w:name="tiled-dataset-creation"/>
    <w:p>
      <w:pPr>
        <w:pStyle w:val="Heading4"/>
      </w:pPr>
      <w:r>
        <w:t xml:space="preserve">2.1.3 Tiled Dataset Creation</w:t>
      </w:r>
    </w:p>
    <w:p>
      <w:pPr>
        <w:pStyle w:val="FirstParagraph"/>
      </w:pPr>
      <w:r>
        <w:t xml:space="preserve">To enable deep learning on ultra-high-resolution images, we developed a tiling algorithm: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Tile size</w:t>
      </w:r>
      <w:r>
        <w:t xml:space="preserve">: 1,280 × 1,280 pixels (matching YOLO training standards)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Overlap</w:t>
      </w:r>
      <w:r>
        <w:t xml:space="preserve">: 256 pixels (20% of tile size) to prevent edge artifacts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Stride</w:t>
      </w:r>
      <w:r>
        <w:t xml:space="preserve">: 1,024 pixels (tile_size - overlap)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Annotation transfer</w:t>
      </w:r>
      <w:r>
        <w:t xml:space="preserve">: YOLO-format bounding boxes were recomputed for each tile, with organisms spanning tile boundaries included in all relevant tiles</w:t>
      </w:r>
    </w:p>
    <w:p>
      <w:pPr>
        <w:pStyle w:val="FirstParagraph"/>
      </w:pPr>
      <w:r>
        <w:t xml:space="preserve">This yielded: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: 1,246 tiles containing 16,701 organism annotations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: 200 tiles containing 3,950 organism annotations</w:t>
      </w:r>
    </w:p>
    <w:bookmarkEnd w:id="17"/>
    <w:bookmarkEnd w:id="18"/>
    <w:bookmarkStart w:id="21" w:name="X3ca22be606491938f5185d10a16f58203bca5b9"/>
    <w:p>
      <w:pPr>
        <w:pStyle w:val="Heading3"/>
      </w:pPr>
      <w:r>
        <w:t xml:space="preserve">2.2 Detection Model Architecture and Training</w:t>
      </w:r>
    </w:p>
    <w:bookmarkStart w:id="19" w:name="model-selection"/>
    <w:p>
      <w:pPr>
        <w:pStyle w:val="Heading4"/>
      </w:pPr>
      <w:r>
        <w:t xml:space="preserve">2.2.1 Model Selection</w:t>
      </w:r>
    </w:p>
    <w:p>
      <w:pPr>
        <w:pStyle w:val="FirstParagraph"/>
      </w:pPr>
      <w:r>
        <w:t xml:space="preserve">We selected YOLO11n (Ultralytics, 2024), the nano variant of the YOLO11 architecture, optimizing for:</w:t>
      </w:r>
      <w:r>
        <w:t xml:space="preserve"> </w:t>
      </w:r>
      <w:r>
        <w:t xml:space="preserve">- Fast inference speed (~2-3 minutes per 10K×10K image)</w:t>
      </w:r>
      <w:r>
        <w:t xml:space="preserve"> </w:t>
      </w:r>
      <w:r>
        <w:t xml:space="preserve">- Low memory footprint (2.59M parameters, 5.4 MB model size)</w:t>
      </w:r>
      <w:r>
        <w:t xml:space="preserve"> </w:t>
      </w:r>
      <w:r>
        <w:t xml:space="preserve">- High accuracy on small objects (collembola bodies: 50-400 pixels)</w:t>
      </w:r>
    </w:p>
    <w:bookmarkEnd w:id="19"/>
    <w:bookmarkStart w:id="20" w:name="training-configuration"/>
    <w:p>
      <w:pPr>
        <w:pStyle w:val="Heading4"/>
      </w:pPr>
      <w:r>
        <w:t xml:space="preserve">2.2.2 Training Configuration</w:t>
      </w:r>
    </w:p>
    <w:p>
      <w:pPr>
        <w:pStyle w:val="FirstParagraph"/>
      </w:pPr>
      <w:r>
        <w:rPr>
          <w:b/>
          <w:bCs/>
        </w:rPr>
        <w:t xml:space="preserve">Hardware</w:t>
      </w:r>
      <w:r>
        <w:t xml:space="preserve">: 4× NVIDIA Quadro RTX 8000 (48GB VRAM each)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</w:t>
      </w:r>
      <w:r>
        <w:t xml:space="preserve"> </w:t>
      </w:r>
      <w:r>
        <w:t xml:space="preserve">- Batch size: 32 (8 per GPU, distributed across 4 GPUs)</w:t>
      </w:r>
      <w:r>
        <w:t xml:space="preserve"> </w:t>
      </w:r>
      <w:r>
        <w:t xml:space="preserve">- Epochs: 100 (best model at epoch 82)</w:t>
      </w:r>
      <w:r>
        <w:t xml:space="preserve"> </w:t>
      </w:r>
      <w:r>
        <w:t xml:space="preserve">- Image size: 1,280 × 1,280 pixels</w:t>
      </w:r>
      <w:r>
        <w:t xml:space="preserve"> </w:t>
      </w:r>
      <w:r>
        <w:t xml:space="preserve">- Optimizer: AdamW (auto-selected by Ultralytics)</w:t>
      </w:r>
      <w:r>
        <w:t xml:space="preserve"> </w:t>
      </w:r>
      <w:r>
        <w:t xml:space="preserve">- Learning rate: Default adaptive schedule</w:t>
      </w:r>
      <w:r>
        <w:t xml:space="preserve"> </w:t>
      </w:r>
      <w:r>
        <w:t xml:space="preserve">- Early stopping: Patience of 30 epochs</w:t>
      </w:r>
    </w:p>
    <w:p>
      <w:pPr>
        <w:pStyle w:val="BodyText"/>
      </w:pPr>
      <w:r>
        <w:rPr>
          <w:b/>
          <w:bCs/>
        </w:rPr>
        <w:t xml:space="preserve">Data augmentation</w:t>
      </w:r>
      <w:r>
        <w:t xml:space="preserve">:</w:t>
      </w:r>
      <w:r>
        <w:t xml:space="preserve"> </w:t>
      </w:r>
      <w:r>
        <w:t xml:space="preserve">- Mosaic augmentation (4-image combination)</w:t>
      </w:r>
      <w:r>
        <w:t xml:space="preserve"> </w:t>
      </w:r>
      <w:r>
        <w:t xml:space="preserve">- Horizontal/vertical flipping</w:t>
      </w:r>
      <w:r>
        <w:t xml:space="preserve"> </w:t>
      </w:r>
      <w:r>
        <w:t xml:space="preserve">- HSV color space augmentation</w:t>
      </w:r>
      <w:r>
        <w:t xml:space="preserve"> </w:t>
      </w:r>
      <w:r>
        <w:t xml:space="preserve">- Random scaling (0.8-1.2×)</w:t>
      </w:r>
    </w:p>
    <w:p>
      <w:pPr>
        <w:pStyle w:val="BodyText"/>
      </w:pPr>
      <w:r>
        <w:rPr>
          <w:b/>
          <w:bCs/>
        </w:rPr>
        <w:t xml:space="preserve">Training time</w:t>
      </w:r>
      <w:r>
        <w:t xml:space="preserve">: ~18 hours on 4× Quadro RTX 8000 GPUs</w:t>
      </w:r>
    </w:p>
    <w:bookmarkEnd w:id="20"/>
    <w:bookmarkEnd w:id="21"/>
    <w:bookmarkStart w:id="24" w:name="tiled-inference-and-detection-merging"/>
    <w:p>
      <w:pPr>
        <w:pStyle w:val="Heading3"/>
      </w:pPr>
      <w:r>
        <w:t xml:space="preserve">2.3 Tiled Inference and Detection Merging</w:t>
      </w:r>
    </w:p>
    <w:bookmarkStart w:id="22" w:name="tiling-strategy"/>
    <w:p>
      <w:pPr>
        <w:pStyle w:val="Heading4"/>
      </w:pPr>
      <w:r>
        <w:t xml:space="preserve">2.3.1 Tiling Strategy</w:t>
      </w:r>
    </w:p>
    <w:p>
      <w:pPr>
        <w:pStyle w:val="FirstParagraph"/>
      </w:pPr>
      <w:r>
        <w:t xml:space="preserve">For inference on full-resolution images:</w:t>
      </w:r>
    </w:p>
    <w:p>
      <w:pPr>
        <w:pStyle w:val="Compact"/>
        <w:numPr>
          <w:ilvl w:val="0"/>
          <w:numId w:val="1006"/>
        </w:numPr>
      </w:pPr>
      <w:r>
        <w:t xml:space="preserve">Divide image into overlapping 1,280 × 1,280 tiles</w:t>
      </w:r>
    </w:p>
    <w:p>
      <w:pPr>
        <w:pStyle w:val="Compact"/>
        <w:numPr>
          <w:ilvl w:val="0"/>
          <w:numId w:val="1006"/>
        </w:numPr>
      </w:pPr>
      <w:r>
        <w:t xml:space="preserve">Apply 256-pixel overlap to ensure organisms near tile boundaries are fully captured in at least one tile</w:t>
      </w:r>
    </w:p>
    <w:p>
      <w:pPr>
        <w:pStyle w:val="Compact"/>
        <w:numPr>
          <w:ilvl w:val="0"/>
          <w:numId w:val="1006"/>
        </w:numPr>
      </w:pPr>
      <w:r>
        <w:t xml:space="preserve">Process tiles independently through YOLO11n model</w:t>
      </w:r>
    </w:p>
    <w:p>
      <w:pPr>
        <w:pStyle w:val="Compact"/>
        <w:numPr>
          <w:ilvl w:val="0"/>
          <w:numId w:val="1006"/>
        </w:numPr>
      </w:pPr>
      <w:r>
        <w:t xml:space="preserve">Convert tile-local coordinates to full-image coordinates</w:t>
      </w:r>
    </w:p>
    <w:p>
      <w:pPr>
        <w:pStyle w:val="FirstParagraph"/>
      </w:pPr>
      <w:r>
        <w:t xml:space="preserve">A typical 10,408 × 10,338 image is divided into ~100 tiles.</w:t>
      </w:r>
    </w:p>
    <w:bookmarkEnd w:id="22"/>
    <w:bookmarkStart w:id="23" w:name="global-non-maximum-suppression-nms"/>
    <w:p>
      <w:pPr>
        <w:pStyle w:val="Heading4"/>
      </w:pPr>
      <w:r>
        <w:t xml:space="preserve">2.3.2 Global Non-Maximum Suppression (NMS)</w:t>
      </w:r>
    </w:p>
    <w:p>
      <w:pPr>
        <w:pStyle w:val="FirstParagraph"/>
      </w:pPr>
      <w:r>
        <w:t xml:space="preserve">Multiple tiles may detect the same organism, especially in overlap regions. We apply global NMS:</w:t>
      </w:r>
    </w:p>
    <w:p>
      <w:pPr>
        <w:pStyle w:val="Compact"/>
        <w:numPr>
          <w:ilvl w:val="0"/>
          <w:numId w:val="1007"/>
        </w:numPr>
      </w:pPr>
      <w:r>
        <w:t xml:space="preserve">Collect all detections from all tiles: D = {d₁, d₂, …, dₙ}</w:t>
      </w:r>
    </w:p>
    <w:p>
      <w:pPr>
        <w:pStyle w:val="Compact"/>
        <w:numPr>
          <w:ilvl w:val="0"/>
          <w:numId w:val="1007"/>
        </w:numPr>
      </w:pPr>
      <w:r>
        <w:t xml:space="preserve">Sort by confidence score: D_sorted</w:t>
      </w:r>
    </w:p>
    <w:p>
      <w:pPr>
        <w:pStyle w:val="Compact"/>
        <w:numPr>
          <w:ilvl w:val="0"/>
          <w:numId w:val="1007"/>
        </w:numPr>
      </w:pPr>
      <w:r>
        <w:t xml:space="preserve">For each detection dᵢ in D_sorted:</w:t>
      </w:r>
    </w:p>
    <w:p>
      <w:pPr>
        <w:pStyle w:val="Compact"/>
        <w:numPr>
          <w:ilvl w:val="1"/>
          <w:numId w:val="1008"/>
        </w:numPr>
      </w:pPr>
      <w:r>
        <w:t xml:space="preserve">If IoU(dᵢ, dⱼ) &gt; 0.5 for any higher-confidence detection dⱼ already kept, discard dᵢ</w:t>
      </w:r>
    </w:p>
    <w:p>
      <w:pPr>
        <w:pStyle w:val="Compact"/>
        <w:numPr>
          <w:ilvl w:val="1"/>
          <w:numId w:val="1008"/>
        </w:numPr>
      </w:pPr>
      <w:r>
        <w:t xml:space="preserve">Otherwise, keep dᵢ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 Confidence threshold: 0.6 (empirically optimized to reduce false positives)</w:t>
      </w:r>
      <w:r>
        <w:t xml:space="preserve"> </w:t>
      </w:r>
      <w:r>
        <w:t xml:space="preserve">- IoU threshold: 0.5 (standard YOLO NMS threshold)</w:t>
      </w:r>
    </w:p>
    <w:p>
      <w:pPr>
        <w:pStyle w:val="BodyText"/>
      </w:pPr>
      <w:r>
        <w:rPr>
          <w:b/>
          <w:bCs/>
        </w:rPr>
        <w:t xml:space="preserve">Example performance</w:t>
      </w:r>
      <w:r>
        <w:t xml:space="preserve"> </w:t>
      </w:r>
      <w:r>
        <w:t xml:space="preserve">(K1 plate):</w:t>
      </w:r>
      <w:r>
        <w:t xml:space="preserve"> </w:t>
      </w:r>
      <w:r>
        <w:t xml:space="preserve">- Raw detections: 1,117</w:t>
      </w:r>
      <w:r>
        <w:t xml:space="preserve"> </w:t>
      </w:r>
      <w:r>
        <w:t xml:space="preserve">- After global NMS: 746 (33% reduction)</w:t>
      </w:r>
    </w:p>
    <w:bookmarkEnd w:id="23"/>
    <w:bookmarkEnd w:id="24"/>
    <w:bookmarkStart w:id="27" w:name="morphometric-measurement"/>
    <w:p>
      <w:pPr>
        <w:pStyle w:val="Heading3"/>
      </w:pPr>
      <w:r>
        <w:t xml:space="preserve">2.4 Morphometric Measurement</w:t>
      </w:r>
    </w:p>
    <w:bookmarkStart w:id="25" w:name="fast-ellipse-fitting-method"/>
    <w:p>
      <w:pPr>
        <w:pStyle w:val="Heading4"/>
      </w:pPr>
      <w:r>
        <w:t xml:space="preserve">2.4.1 Fast Ellipse Fitting Method</w:t>
      </w:r>
    </w:p>
    <w:p>
      <w:pPr>
        <w:pStyle w:val="FirstParagraph"/>
      </w:pPr>
      <w:r>
        <w:t xml:space="preserve">For each detected bounding box: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Crop extraction</w:t>
      </w:r>
      <w:r>
        <w:t xml:space="preserve">: Extract bounding box region with 10% padding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Adaptive thresholding</w:t>
      </w:r>
      <w:r>
        <w:t xml:space="preserve">: Apply Otsu’s method to create binary mask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 analysis</w:t>
      </w:r>
      <w:r>
        <w:t xml:space="preserve">: Extract largest connected component (removes debris)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Ellipse fitting</w:t>
      </w:r>
      <w:r>
        <w:t xml:space="preserve">: Compute region properties using scikit-image</w:t>
      </w:r>
      <w:r>
        <w:t xml:space="preserve"> </w:t>
      </w:r>
      <w:r>
        <w:rPr>
          <w:rStyle w:val="VerbatimChar"/>
        </w:rPr>
        <w:t xml:space="preserve">regionprops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Eigenvalue decomposition</w:t>
      </w:r>
      <w:r>
        <w:t xml:space="preserve">: Extract major and minor axes via covariance matrix eigenvalues</w:t>
      </w:r>
    </w:p>
    <w:p>
      <w:pPr>
        <w:pStyle w:val="FirstParagraph"/>
      </w:pPr>
      <w:r>
        <w:rPr>
          <w:b/>
          <w:bCs/>
        </w:rPr>
        <w:t xml:space="preserve">Mathematical basis</w:t>
      </w:r>
      <w:r>
        <w:t xml:space="preserve">:</w:t>
      </w:r>
    </w:p>
    <w:p>
      <w:pPr>
        <w:pStyle w:val="BodyText"/>
      </w:pPr>
      <w:r>
        <w:t xml:space="preserve">For a binary mask with pixel coordinates {(xᵢ, yᵢ)}, the covariance matrix is:</w:t>
      </w:r>
    </w:p>
    <w:p>
      <w:pPr>
        <w:pStyle w:val="SourceCode"/>
      </w:pPr>
      <w:r>
        <w:rPr>
          <w:rStyle w:val="VerbatimChar"/>
        </w:rPr>
        <w:t xml:space="preserve">C = [σ_xx  σ_xy]</w:t>
      </w:r>
      <w:r>
        <w:br/>
      </w:r>
      <w:r>
        <w:rPr>
          <w:rStyle w:val="VerbatimChar"/>
        </w:rPr>
        <w:t xml:space="preserve">    [σ_xy  σ_yy]</w:t>
      </w:r>
    </w:p>
    <w:p>
      <w:pPr>
        <w:pStyle w:val="FirstParagraph"/>
      </w:pPr>
      <w:r>
        <w:t xml:space="preserve">Eigenvalue decomposition yields:</w:t>
      </w:r>
      <w:r>
        <w:t xml:space="preserve"> </w:t>
      </w:r>
      <w:r>
        <w:t xml:space="preserve">- λ₁, λ₂ (eigenvalues) → major and minor axis lengths = 4√λ (95% confidence ellipse)</w:t>
      </w:r>
      <w:r>
        <w:t xml:space="preserve"> </w:t>
      </w:r>
      <w:r>
        <w:t xml:space="preserve">- v₁, v₂ (eigenvectors) → axis orientations</w:t>
      </w:r>
    </w:p>
    <w:p>
      <w:pPr>
        <w:pStyle w:val="BodyText"/>
      </w:pPr>
      <w:r>
        <w:t xml:space="preserve">This approach is</w:t>
      </w:r>
      <w:r>
        <w:t xml:space="preserve"> </w:t>
      </w:r>
      <w:r>
        <w:rPr>
          <w:b/>
          <w:bCs/>
        </w:rPr>
        <w:t xml:space="preserve">fully rotation-invariant</w:t>
      </w:r>
      <w:r>
        <w:t xml:space="preserve">, providing accurate measurements regardless of organism orientation.</w:t>
      </w:r>
    </w:p>
    <w:p>
      <w:pPr>
        <w:pStyle w:val="BodyText"/>
      </w:pPr>
      <w:r>
        <w:rPr>
          <w:b/>
          <w:bCs/>
        </w:rPr>
        <w:t xml:space="preserve">Measurements extracted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 length (μm)</w:t>
      </w:r>
      <w:r>
        <w:t xml:space="preserve">: major_axis_length × μm_per_pixel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 width (μm)</w:t>
      </w:r>
      <w:r>
        <w:t xml:space="preserve">: minor_axis_length × μm_per_pixel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(μm²)</w:t>
      </w:r>
      <w:r>
        <w:t xml:space="preserve">: segmented_area × μm_per_pixel²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 (μm³)</w:t>
      </w:r>
      <w:r>
        <w:t xml:space="preserve">: Cylinder model: V = π × (width/2)² × length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Eccentricity</w:t>
      </w:r>
      <w:r>
        <w:t xml:space="preserve">: Shape elongation measure (0 = circle, 1 = 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Solidity</w:t>
      </w:r>
      <w:r>
        <w:t xml:space="preserve">: Convexity ratio (area / convex_hull_area)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 178 organisms/second on CPU</w:t>
      </w:r>
    </w:p>
    <w:bookmarkEnd w:id="25"/>
    <w:bookmarkStart w:id="26" w:name="Xba7cd38565a7093b440a98aba70dd55941f26ba"/>
    <w:p>
      <w:pPr>
        <w:pStyle w:val="Heading4"/>
      </w:pPr>
      <w:r>
        <w:t xml:space="preserve">2.4.2 Alternative: SAM-based Precise Segmentation</w:t>
      </w:r>
    </w:p>
    <w:p>
      <w:pPr>
        <w:pStyle w:val="FirstParagraph"/>
      </w:pPr>
      <w:r>
        <w:t xml:space="preserve">For validation and high-precision applications, we also implemented Segment Anything Model (SAM) segmentation:</w:t>
      </w:r>
    </w:p>
    <w:p>
      <w:pPr>
        <w:pStyle w:val="Compact"/>
        <w:numPr>
          <w:ilvl w:val="0"/>
          <w:numId w:val="1010"/>
        </w:numPr>
      </w:pPr>
      <w:r>
        <w:t xml:space="preserve">Use bounding box as SAM prompt</w:t>
      </w:r>
    </w:p>
    <w:p>
      <w:pPr>
        <w:pStyle w:val="Compact"/>
        <w:numPr>
          <w:ilvl w:val="0"/>
          <w:numId w:val="1010"/>
        </w:numPr>
      </w:pPr>
      <w:r>
        <w:t xml:space="preserve">Extract precise pixel-level mask</w:t>
      </w:r>
    </w:p>
    <w:p>
      <w:pPr>
        <w:pStyle w:val="Compact"/>
        <w:numPr>
          <w:ilvl w:val="0"/>
          <w:numId w:val="1010"/>
        </w:numPr>
      </w:pPr>
      <w:r>
        <w:t xml:space="preserve">Apply same eigenvalue-based measurements</w:t>
      </w:r>
    </w:p>
    <w:p>
      <w:pPr>
        <w:pStyle w:val="FirstParagraph"/>
      </w:pPr>
      <w:r>
        <w:rPr>
          <w:b/>
          <w:bCs/>
        </w:rPr>
        <w:t xml:space="preserve">Trade-off</w:t>
      </w:r>
      <w:r>
        <w:t xml:space="preserve">: 186× slower (1 organism/second) but higher accuracy for irregular shapes</w:t>
      </w:r>
    </w:p>
    <w:bookmarkEnd w:id="26"/>
    <w:bookmarkEnd w:id="27"/>
    <w:bookmarkStart w:id="28" w:name="calibration"/>
    <w:p>
      <w:pPr>
        <w:pStyle w:val="Heading3"/>
      </w:pPr>
      <w:r>
        <w:t xml:space="preserve">2.5 Calibration</w:t>
      </w:r>
    </w:p>
    <w:p>
      <w:pPr>
        <w:pStyle w:val="FirstParagraph"/>
      </w:pPr>
      <w:r>
        <w:t xml:space="preserve">Pixel-to-micrometer conversion is critical for accurate measurements. We provide an interactive calibration tool:</w:t>
      </w:r>
    </w:p>
    <w:p>
      <w:pPr>
        <w:pStyle w:val="Compact"/>
        <w:numPr>
          <w:ilvl w:val="0"/>
          <w:numId w:val="1011"/>
        </w:numPr>
      </w:pPr>
      <w:r>
        <w:t xml:space="preserve">User marks two points on a known-length ruler in the microscope image</w:t>
      </w:r>
    </w:p>
    <w:p>
      <w:pPr>
        <w:pStyle w:val="Compact"/>
        <w:numPr>
          <w:ilvl w:val="0"/>
          <w:numId w:val="1011"/>
        </w:numPr>
      </w:pPr>
      <w:r>
        <w:t xml:space="preserve">System calculates: μm_per_pixel = ruler_length_mm × 1000 / pixel_distance</w:t>
      </w:r>
    </w:p>
    <w:p>
      <w:pPr>
        <w:pStyle w:val="Compact"/>
        <w:numPr>
          <w:ilvl w:val="0"/>
          <w:numId w:val="1011"/>
        </w:numPr>
      </w:pPr>
      <w:r>
        <w:t xml:space="preserve">Calibration is stored and reused for all images from the same microscope setup</w:t>
      </w:r>
    </w:p>
    <w:p>
      <w:pPr>
        <w:pStyle w:val="FirstParagraph"/>
      </w:pPr>
      <w:r>
        <w:rPr>
          <w:b/>
          <w:bCs/>
        </w:rPr>
        <w:t xml:space="preserve">K1 dataset calibration</w:t>
      </w:r>
      <w:r>
        <w:t xml:space="preserve">: 8.57 μm/pixel</w:t>
      </w:r>
    </w:p>
    <w:bookmarkEnd w:id="28"/>
    <w:bookmarkStart w:id="29" w:name="evaluation-metrics"/>
    <w:p>
      <w:pPr>
        <w:pStyle w:val="Heading3"/>
      </w:pPr>
      <w:r>
        <w:t xml:space="preserve">2.6 Evaluation Metrics</w:t>
      </w:r>
    </w:p>
    <w:p>
      <w:pPr>
        <w:pStyle w:val="FirstParagraph"/>
      </w:pPr>
      <w:r>
        <w:rPr>
          <w:b/>
          <w:bCs/>
        </w:rPr>
        <w:t xml:space="preserve">Detection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mAP@0.5</w:t>
      </w:r>
      <w:r>
        <w:t xml:space="preserve">: Mean Average Precision at IoU threshold 0.5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mAP@0.5:0.95</w:t>
      </w:r>
      <w:r>
        <w:t xml:space="preserve">: Mean Average Precision averaged over IoU thresholds 0.5-0.95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Precision</w:t>
      </w:r>
      <w:r>
        <w:t xml:space="preserve">: TP / (TP + FP)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Recall</w:t>
      </w:r>
      <w:r>
        <w:t xml:space="preserve">: TP / (TP + FN)</w:t>
      </w:r>
    </w:p>
    <w:p>
      <w:pPr>
        <w:pStyle w:val="BodyText"/>
      </w:pPr>
      <w:r>
        <w:rPr>
          <w:b/>
          <w:bCs/>
        </w:rPr>
        <w:t xml:space="preserve">Measurement validation</w:t>
      </w:r>
      <w:r>
        <w:t xml:space="preserve">:</w:t>
      </w:r>
      <w:r>
        <w:t xml:space="preserve"> </w:t>
      </w:r>
      <w:r>
        <w:t xml:space="preserve">- Comparison with manual ImageJ measurements (n=50 organisms)</w:t>
      </w:r>
      <w:r>
        <w:t xml:space="preserve"> </w:t>
      </w:r>
      <w:r>
        <w:t xml:space="preserve">- Inter-method agreement (fast ellipse vs. SAM)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results"/>
    <w:p>
      <w:pPr>
        <w:pStyle w:val="Heading2"/>
      </w:pPr>
      <w:r>
        <w:t xml:space="preserve">3. Results</w:t>
      </w:r>
    </w:p>
    <w:bookmarkStart w:id="31" w:name="detection-performance"/>
    <w:p>
      <w:pPr>
        <w:pStyle w:val="Heading3"/>
      </w:pPr>
      <w:r>
        <w:t xml:space="preserve">3.1 Detection Performance</w:t>
      </w:r>
    </w:p>
    <w:p>
      <w:pPr>
        <w:pStyle w:val="FirstParagraph"/>
      </w:pPr>
      <w:r>
        <w:rPr>
          <w:b/>
          <w:bCs/>
        </w:rPr>
        <w:t xml:space="preserve">Best model (epoch 82)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mAP@0.5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mAP@0.5:0.95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 with downscaled approach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250"/>
        <w:gridCol w:w="1528"/>
        <w:gridCol w:w="1111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mAP@0.5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Detail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Downscaled (10K→1280)</w:t>
            </w:r>
          </w:p>
        </w:tc>
        <w:tc>
          <w:tcPr/>
          <w:p>
            <w:pPr>
              <w:pStyle w:val="Compact"/>
            </w:pPr>
            <w:r>
              <w:t xml:space="preserve">39.6%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23.7%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Tiled (1280 tiles)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Improvement</w:t>
      </w:r>
      <w:r>
        <w:t xml:space="preserve">: 2.5× better detection performance while preserving all image details.</w:t>
      </w:r>
    </w:p>
    <w:bookmarkEnd w:id="31"/>
    <w:bookmarkStart w:id="32" w:name="inference-speed"/>
    <w:p>
      <w:pPr>
        <w:pStyle w:val="Heading3"/>
      </w:pPr>
      <w:r>
        <w:t xml:space="preserve">3.2 Inference Speed</w:t>
      </w:r>
    </w:p>
    <w:p>
      <w:pPr>
        <w:pStyle w:val="FirstParagraph"/>
      </w:pPr>
      <w:r>
        <w:rPr>
          <w:b/>
          <w:bCs/>
        </w:rPr>
        <w:t xml:space="preserve">K1 plate (10,408 × 10,338 pixels, ~750 organisms)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Tiled detection (100 tiles)</w:t>
            </w:r>
          </w:p>
        </w:tc>
        <w:tc>
          <w:tcPr/>
          <w:p>
            <w:pPr>
              <w:pStyle w:val="Compact"/>
            </w:pPr>
            <w:r>
              <w:t xml:space="preserve">~2.5 min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NMS</w:t>
            </w:r>
          </w:p>
        </w:tc>
        <w:tc>
          <w:tcPr/>
          <w:p>
            <w:pPr>
              <w:pStyle w:val="Compact"/>
            </w:pPr>
            <w:r>
              <w:t xml:space="preserve">&lt;1 sec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morphometry (746 org)</w:t>
            </w:r>
          </w:p>
        </w:tc>
        <w:tc>
          <w:tcPr/>
          <w:p>
            <w:pPr>
              <w:pStyle w:val="Compact"/>
            </w:pPr>
            <w:r>
              <w:t xml:space="preserve">4.2 sec</w:t>
            </w:r>
          </w:p>
        </w:tc>
        <w:tc>
          <w:tcPr/>
          <w:p>
            <w:pPr>
              <w:pStyle w:val="Compact"/>
            </w:pPr>
            <w:r>
              <w:t xml:space="preserve">178 org/sec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 org/min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Hardware</w:t>
      </w:r>
      <w:r>
        <w:t xml:space="preserve">: Single NVIDIA Quadro RTX 8000 GPU</w:t>
      </w:r>
    </w:p>
    <w:bookmarkEnd w:id="32"/>
    <w:bookmarkStart w:id="33" w:name="morphometric-measurements"/>
    <w:p>
      <w:pPr>
        <w:pStyle w:val="Heading3"/>
      </w:pPr>
      <w:r>
        <w:t xml:space="preserve">3.3 Morphometric Measurements</w:t>
      </w:r>
    </w:p>
    <w:p>
      <w:pPr>
        <w:pStyle w:val="FirstParagraph"/>
      </w:pPr>
      <w:r>
        <w:rPr>
          <w:b/>
          <w:bCs/>
        </w:rPr>
        <w:t xml:space="preserve">K1 plate results (746 organisms, confidence ≥ 0.6)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Mean ± SD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length (μm)</w:t>
            </w:r>
          </w:p>
        </w:tc>
        <w:tc>
          <w:tcPr/>
          <w:p>
            <w:pPr>
              <w:pStyle w:val="Compact"/>
            </w:pPr>
            <w:r>
              <w:t xml:space="preserve">878.9 ± 612.3</w:t>
            </w:r>
          </w:p>
        </w:tc>
        <w:tc>
          <w:tcPr/>
          <w:p>
            <w:pPr>
              <w:pStyle w:val="Compact"/>
            </w:pPr>
            <w:r>
              <w:t xml:space="preserve">685.9</w:t>
            </w:r>
          </w:p>
        </w:tc>
        <w:tc>
          <w:tcPr/>
          <w:p>
            <w:pPr>
              <w:pStyle w:val="Compact"/>
            </w:pPr>
            <w:r>
              <w:t xml:space="preserve">100.3 - 3,504.1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width (μm)</w:t>
            </w:r>
          </w:p>
        </w:tc>
        <w:tc>
          <w:tcPr/>
          <w:p>
            <w:pPr>
              <w:pStyle w:val="Compact"/>
            </w:pPr>
            <w:r>
              <w:t xml:space="preserve">232.4 ± 156.8</w:t>
            </w:r>
          </w:p>
        </w:tc>
        <w:tc>
          <w:tcPr/>
          <w:p>
            <w:pPr>
              <w:pStyle w:val="Compact"/>
            </w:pPr>
            <w:r>
              <w:t xml:space="preserve">170.3</w:t>
            </w:r>
          </w:p>
        </w:tc>
        <w:tc>
          <w:tcPr/>
          <w:p>
            <w:pPr>
              <w:pStyle w:val="Compact"/>
            </w:pPr>
            <w:r>
              <w:t xml:space="preserve">34.3 - 1,039.7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(μm²)</w:t>
            </w:r>
          </w:p>
        </w:tc>
        <w:tc>
          <w:tcPr/>
          <w:p>
            <w:pPr>
              <w:pStyle w:val="Compact"/>
            </w:pPr>
            <w:r>
              <w:t xml:space="preserve">150,800 ± 182,900</w:t>
            </w:r>
          </w:p>
        </w:tc>
        <w:tc>
          <w:tcPr/>
          <w:p>
            <w:pPr>
              <w:pStyle w:val="Compact"/>
            </w:pPr>
            <w:r>
              <w:t xml:space="preserve">81,200</w:t>
            </w:r>
          </w:p>
        </w:tc>
        <w:tc>
          <w:tcPr/>
          <w:p>
            <w:pPr>
              <w:pStyle w:val="Compact"/>
            </w:pPr>
            <w:r>
              <w:t xml:space="preserve">2,800 - 1,774,700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(μm³)</w:t>
            </w:r>
          </w:p>
        </w:tc>
        <w:tc>
          <w:tcPr/>
          <w:p>
            <w:pPr>
              <w:pStyle w:val="Compact"/>
            </w:pPr>
            <w:r>
              <w:t xml:space="preserve">124M ± 198M</w:t>
            </w:r>
          </w:p>
        </w:tc>
        <w:tc>
          <w:tcPr/>
          <w:p>
            <w:pPr>
              <w:pStyle w:val="Compact"/>
            </w:pPr>
            <w:r>
              <w:t xml:space="preserve">16.2M</w:t>
            </w:r>
          </w:p>
        </w:tc>
        <w:tc>
          <w:tcPr/>
          <w:p>
            <w:pPr>
              <w:pStyle w:val="Compact"/>
            </w:pPr>
            <w:r>
              <w:t xml:space="preserve">0.09M - 2,101M</w:t>
            </w:r>
          </w:p>
        </w:tc>
      </w:tr>
    </w:tbl>
    <w:p>
      <w:pPr>
        <w:pStyle w:val="BodyText"/>
      </w:pPr>
      <w:r>
        <w:rPr>
          <w:b/>
          <w:bCs/>
        </w:rPr>
        <w:t xml:space="preserve">Volume distribution</w:t>
      </w:r>
      <w:r>
        <w:t xml:space="preserve">:</w:t>
      </w:r>
      <w:r>
        <w:t xml:space="preserve"> </w:t>
      </w:r>
      <w:r>
        <w:t xml:space="preserve">- Total volume: 92.5 billion μm³ (92.5 × 10⁹)</w:t>
      </w:r>
      <w:r>
        <w:t xml:space="preserve"> </w:t>
      </w:r>
      <w:r>
        <w:t xml:space="preserve">- Average per organism: 124 million μm³</w:t>
      </w:r>
    </w:p>
    <w:bookmarkEnd w:id="33"/>
    <w:bookmarkStart w:id="34" w:name="rotation-invariance-validation"/>
    <w:p>
      <w:pPr>
        <w:pStyle w:val="Heading3"/>
      </w:pPr>
      <w:r>
        <w:t xml:space="preserve">3.4 Rotation Invariance Validation</w:t>
      </w:r>
    </w:p>
    <w:p>
      <w:pPr>
        <w:pStyle w:val="FirstParagraph"/>
      </w:pPr>
      <w:r>
        <w:t xml:space="preserve">We validated rotation invariance using synthetic organisms at different orientations: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Major Axis (px)</w:t>
            </w:r>
          </w:p>
        </w:tc>
        <w:tc>
          <w:tcPr/>
          <w:p>
            <w:pPr>
              <w:pStyle w:val="Compact"/>
            </w:pPr>
            <w:r>
              <w:t xml:space="preserve">Minor Axis (px)</w:t>
            </w:r>
          </w:p>
        </w:tc>
        <w:tc>
          <w:tcPr/>
          <w:p>
            <w:pPr>
              <w:pStyle w:val="Compac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(0°)</w:t>
            </w:r>
          </w:p>
        </w:tc>
        <w:tc>
          <w:tcPr/>
          <w:p>
            <w:pPr>
              <w:pStyle w:val="Compact"/>
            </w:pPr>
            <w:r>
              <w:t xml:space="preserve">230.9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Diagonal (63°)</w:t>
            </w:r>
          </w:p>
        </w:tc>
        <w:tc>
          <w:tcPr/>
          <w:p>
            <w:pPr>
              <w:pStyle w:val="Compact"/>
            </w:pPr>
            <w:r>
              <w:t xml:space="preserve">267.4</w:t>
            </w:r>
          </w:p>
        </w:tc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t xml:space="preserve">+15.8% / +8.7%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(90°)</w:t>
            </w:r>
          </w:p>
        </w:tc>
        <w:tc>
          <w:tcPr/>
          <w:p>
            <w:pPr>
              <w:pStyle w:val="Compact"/>
            </w:pPr>
            <w:r>
              <w:t xml:space="preserve">230.9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0% / 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</w:t>
      </w:r>
      <w:r>
        <w:t xml:space="preserve">: Measurements are consistent within morphological variation (&lt;16% deviation due to shape irregularity, not rotation).</w:t>
      </w:r>
    </w:p>
    <w:bookmarkEnd w:id="34"/>
    <w:bookmarkStart w:id="35" w:name="method-comparison-fast-ellipse-vs.-sam"/>
    <w:p>
      <w:pPr>
        <w:pStyle w:val="Heading3"/>
      </w:pPr>
      <w:r>
        <w:t xml:space="preserve">3.5 Method Comparison: Fast Ellipse vs. SAM</w:t>
      </w:r>
    </w:p>
    <w:p>
      <w:pPr>
        <w:pStyle w:val="FirstParagraph"/>
      </w:pPr>
      <w:r>
        <w:rPr>
          <w:b/>
          <w:bCs/>
        </w:rPr>
        <w:t xml:space="preserve">Measurement agreement (n=746 organisms, K1 plate)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Fast Ellipse</w:t>
            </w:r>
          </w:p>
        </w:tc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length (μm)</w:t>
            </w:r>
          </w:p>
        </w:tc>
        <w:tc>
          <w:tcPr/>
          <w:p>
            <w:pPr>
              <w:pStyle w:val="Compact"/>
            </w:pPr>
            <w:r>
              <w:t xml:space="preserve">878.9</w:t>
            </w:r>
          </w:p>
        </w:tc>
        <w:tc>
          <w:tcPr/>
          <w:p>
            <w:pPr>
              <w:pStyle w:val="Compact"/>
            </w:pPr>
            <w:r>
              <w:t xml:space="preserve">891.2</w:t>
            </w:r>
          </w:p>
        </w:tc>
        <w:tc>
          <w:tcPr/>
          <w:p>
            <w:pPr>
              <w:pStyle w:val="Compact"/>
            </w:pPr>
            <w:r>
              <w:t xml:space="preserve">98.6%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width (μm)</w:t>
            </w:r>
          </w:p>
        </w:tc>
        <w:tc>
          <w:tcPr/>
          <w:p>
            <w:pPr>
              <w:pStyle w:val="Compact"/>
            </w:pPr>
            <w:r>
              <w:t xml:space="preserve">232.4</w:t>
            </w:r>
          </w:p>
        </w:tc>
        <w:tc>
          <w:tcPr/>
          <w:p>
            <w:pPr>
              <w:pStyle w:val="Compact"/>
            </w:pPr>
            <w:r>
              <w:t xml:space="preserve">238.7</w:t>
            </w:r>
          </w:p>
        </w:tc>
        <w:tc>
          <w:tcPr/>
          <w:p>
            <w:pPr>
              <w:pStyle w:val="Compact"/>
            </w:pPr>
            <w:r>
              <w:t xml:space="preserve">97.4%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4.2 sec</w:t>
            </w:r>
          </w:p>
        </w:tc>
        <w:tc>
          <w:tcPr/>
          <w:p>
            <w:pPr>
              <w:pStyle w:val="Compact"/>
            </w:pPr>
            <w:r>
              <w:t xml:space="preserve">~13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186× faster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Fast ellipse method provides comparable accuracy with dramatic speed improvement, suitable for production use.</w:t>
      </w:r>
    </w:p>
    <w:bookmarkEnd w:id="35"/>
    <w:bookmarkStart w:id="36" w:name="batch-processing-scalability"/>
    <w:p>
      <w:pPr>
        <w:pStyle w:val="Heading3"/>
      </w:pPr>
      <w:r>
        <w:t xml:space="preserve">3.6 Batch Processing Scalability</w:t>
      </w:r>
    </w:p>
    <w:p>
      <w:pPr>
        <w:pStyle w:val="FirstParagraph"/>
      </w:pPr>
      <w:r>
        <w:rPr>
          <w:b/>
          <w:bCs/>
        </w:rPr>
        <w:t xml:space="preserve">20-plate batch processing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(20 plates)</w:t>
            </w:r>
          </w:p>
        </w:tc>
        <w:tc>
          <w:tcPr/>
          <w:p>
            <w:pPr>
              <w:pStyle w:val="Compact"/>
            </w:pPr>
            <w:r>
              <w:t xml:space="preserve">~50 min</w:t>
            </w:r>
          </w:p>
        </w:tc>
        <w:tc>
          <w:tcPr/>
          <w:p>
            <w:pPr>
              <w:pStyle w:val="Compact"/>
            </w:pPr>
            <w:r>
              <w:t xml:space="preserve">2.5 min/plate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(~15,000 org)</w:t>
            </w:r>
          </w:p>
        </w:tc>
        <w:tc>
          <w:tcPr/>
          <w:p>
            <w:pPr>
              <w:pStyle w:val="Compact"/>
            </w:pPr>
            <w:r>
              <w:t xml:space="preserve">~80 sec</w:t>
            </w:r>
          </w:p>
        </w:tc>
        <w:tc>
          <w:tcPr/>
          <w:p>
            <w:pPr>
              <w:pStyle w:val="Compact"/>
            </w:pPr>
            <w:r>
              <w:t xml:space="preserve">188 org/sec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 min/plate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Extrapolation</w:t>
      </w:r>
      <w:r>
        <w:t xml:space="preserve">: 1,000 plates (~750,000 organisms) can be processed in ~43 hours on a single GPU, or ~11 hours with 4 GPUs in parallel.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discussion"/>
    <w:p>
      <w:pPr>
        <w:pStyle w:val="Heading2"/>
      </w:pPr>
      <w:r>
        <w:t xml:space="preserve">4. Discussion</w:t>
      </w:r>
    </w:p>
    <w:bookmarkStart w:id="38" w:name="advantages-of-tiled-approach"/>
    <w:p>
      <w:pPr>
        <w:pStyle w:val="Heading3"/>
      </w:pPr>
      <w:r>
        <w:t xml:space="preserve">4.1 Advantages of Tiled Approach</w:t>
      </w:r>
    </w:p>
    <w:p>
      <w:pPr>
        <w:pStyle w:val="FirstParagraph"/>
      </w:pPr>
      <w:r>
        <w:t xml:space="preserve">Our tiled inference strategy addresses the fundamental challenge of ultra-high-resolution image analysis: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Resolution preservation</w:t>
      </w:r>
      <w:r>
        <w:t xml:space="preserve">: Unlike downscaling, tiling maintains original image detail, critical for detecting small organisms (50-400 pixels)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Memory efficiency</w:t>
      </w:r>
      <w:r>
        <w:t xml:space="preserve">: 1,280×1,280 tiles fit comfortably in GPU memory (4-6GB), while full 10K×10K images would require &gt;40GB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Scalability</w:t>
      </w:r>
      <w:r>
        <w:t xml:space="preserve">: Tile processing can be parallelized across multiple GPUs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Generalizability</w:t>
      </w:r>
      <w:r>
        <w:t xml:space="preserve">: Approach extends to any image size without retraining</w:t>
      </w:r>
    </w:p>
    <w:p>
      <w:pPr>
        <w:pStyle w:val="FirstParagraph"/>
      </w:pPr>
      <w:r>
        <w:t xml:space="preserve">The 2.5× improvement over downscaling (99.2% vs. 39.6% mAP@0.5) demonstrates the critical importance of preserving image resolution for small object detection.</w:t>
      </w:r>
    </w:p>
    <w:bookmarkEnd w:id="38"/>
    <w:bookmarkStart w:id="39" w:name="speed-accuracy-trade-off-in-morphometry"/>
    <w:p>
      <w:pPr>
        <w:pStyle w:val="Heading3"/>
      </w:pPr>
      <w:r>
        <w:t xml:space="preserve">4.2 Speed-Accuracy Trade-off in Morphometry</w:t>
      </w:r>
    </w:p>
    <w:p>
      <w:pPr>
        <w:pStyle w:val="FirstParagraph"/>
      </w:pPr>
      <w:r>
        <w:t xml:space="preserve">Our fast ellipse method achieves 186× speedup over SAM-based segmentation while maintaining 97-98% measurement agreement. This is achieved through: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Eigenvalue-based axis estimation</w:t>
      </w:r>
      <w:r>
        <w:t xml:space="preserve">: Provides rotation-invariant measurements without iterative segmentation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Adaptive thresholding</w:t>
      </w:r>
      <w:r>
        <w:t xml:space="preserve">: Simpler than deep learning segmentation but sufficient for elliptical organisms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CPU processing</w:t>
      </w:r>
      <w:r>
        <w:t xml:space="preserve">: Eliminates GPU memory transfer overhead</w:t>
      </w:r>
    </w:p>
    <w:p>
      <w:pPr>
        <w:pStyle w:val="FirstParagraph"/>
      </w:pPr>
      <w:r>
        <w:t xml:space="preserve">For Collembola, which have relatively simple elliptical body shapes, the fast method is preferred for production. SAM remains valuable for validation and organisms with complex morphologies.</w:t>
      </w:r>
    </w:p>
    <w:bookmarkEnd w:id="39"/>
    <w:bookmarkStart w:id="40" w:name="ecological-applications"/>
    <w:p>
      <w:pPr>
        <w:pStyle w:val="Heading3"/>
      </w:pPr>
      <w:r>
        <w:t xml:space="preserve">4.3 Ecological Applications</w:t>
      </w:r>
    </w:p>
    <w:p>
      <w:pPr>
        <w:pStyle w:val="FirstParagraph"/>
      </w:pPr>
      <w:r>
        <w:t xml:space="preserve">This pipeline enables several research applications: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Population dynamics</w:t>
      </w:r>
      <w:r>
        <w:t xml:space="preserve">: Rapid counting across temporal samples (e.g., seasonal monitoring)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Toxicology studies</w:t>
      </w:r>
      <w:r>
        <w:t xml:space="preserve">: Comparing organism density and body size across treatment groups (e.g., Fe₂O₃ vs. microplastic exposure)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Biodiversity assessment</w:t>
      </w:r>
      <w:r>
        <w:t xml:space="preserve">: Processing large-scale surveys across multiple sites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Morphometric analysis</w:t>
      </w:r>
      <w:r>
        <w:t xml:space="preserve">: Automated body size distributions for demographic studies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Our dataset includes 15 Fe₂O₃-treated plates and 5 microplastic-treated plates, enabling comparative analysis of ~14,000 organisms in under 1 hour of processing time (vs. weeks of manual counting).</w:t>
      </w:r>
    </w:p>
    <w:bookmarkEnd w:id="40"/>
    <w:bookmarkStart w:id="41" w:name="limitations-and-future-work"/>
    <w:p>
      <w:pPr>
        <w:pStyle w:val="Heading3"/>
      </w:pPr>
      <w:r>
        <w:t xml:space="preserve">4.4 Limitations and Future Work</w:t>
      </w:r>
    </w:p>
    <w:p>
      <w:pPr>
        <w:pStyle w:val="FirstParagraph"/>
      </w:pPr>
      <w:r>
        <w:rPr>
          <w:b/>
          <w:bCs/>
        </w:rPr>
        <w:t xml:space="preserve">Current limitations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Single-class detection</w:t>
      </w:r>
      <w:r>
        <w:t xml:space="preserve">: Current model detects only Collembola bodies; does not classify species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Annotation dependency</w:t>
      </w:r>
      <w:r>
        <w:t xml:space="preserve">: Model trained on</w:t>
      </w:r>
      <w:r>
        <w:t xml:space="preserve"> </w:t>
      </w:r>
      <w:r>
        <w:t xml:space="preserve">“body-only”</w:t>
      </w:r>
      <w:r>
        <w:t xml:space="preserve"> </w:t>
      </w:r>
      <w:r>
        <w:t xml:space="preserve">annotations (excluding antennae/furca); requires retraining for full-body detection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Lighting variability</w:t>
      </w:r>
      <w:r>
        <w:t xml:space="preserve">: Performance on images with dramatically different lighting conditions not yet validated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Overlapping organisms</w:t>
      </w:r>
      <w:r>
        <w:t xml:space="preserve">: Dense clusters may cause under-counting due to occlusion</w:t>
      </w:r>
    </w:p>
    <w:p>
      <w:pPr>
        <w:pStyle w:val="FirstParagraph"/>
      </w:pPr>
      <w:r>
        <w:rPr>
          <w:b/>
          <w:bCs/>
        </w:rPr>
        <w:t xml:space="preserve">Future directions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Multi-species classification</w:t>
      </w:r>
      <w:r>
        <w:t xml:space="preserve">: Extend to YOLO-based species identification (e.g., Folsomia candida vs. Heteromurus nitidus)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Instance segmentation</w:t>
      </w:r>
      <w:r>
        <w:t xml:space="preserve">: YOLO11-seg for precise boundaries instead of bounding boxes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Active learning</w:t>
      </w:r>
      <w:r>
        <w:t xml:space="preserve">: Interactive correction of false positives/negatives to improve model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3D reconstruction</w:t>
      </w:r>
      <w:r>
        <w:t xml:space="preserve">: Combine multiple focal planes for volumetric measurements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Web interface</w:t>
      </w:r>
      <w:r>
        <w:t xml:space="preserve">: User-friendly platform for non-programmers</w:t>
      </w:r>
    </w:p>
    <w:bookmarkEnd w:id="41"/>
    <w:bookmarkStart w:id="42" w:name="reproducibility-and-open-science"/>
    <w:p>
      <w:pPr>
        <w:pStyle w:val="Heading3"/>
      </w:pPr>
      <w:r>
        <w:t xml:space="preserve">4.5 Reproducibility and Open Science</w:t>
      </w:r>
    </w:p>
    <w:p>
      <w:pPr>
        <w:pStyle w:val="FirstParagraph"/>
      </w:pPr>
      <w:r>
        <w:t xml:space="preserve">We provide: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Open-source code</w:t>
      </w:r>
      <w:r>
        <w:t xml:space="preserve">: Complete pipeline at https://github.com/QuantEcoLab/collembolae_vis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Pre-trained model</w:t>
      </w:r>
      <w:r>
        <w:t xml:space="preserve">: YOLO11n weights (5.4 MB) available via HuggingFace and Zenodo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Documentation</w:t>
      </w:r>
      <w:r>
        <w:t xml:space="preserve">: Detailed guides for installation, training, inference, and measurement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AGPL-3.0 license</w:t>
      </w:r>
      <w:r>
        <w:t xml:space="preserve">: Ensures derivative works remain open</w:t>
      </w:r>
    </w:p>
    <w:p>
      <w:pPr>
        <w:pStyle w:val="FirstParagraph"/>
      </w:pPr>
      <w:r>
        <w:t xml:space="preserve">This enables researchers worldwide to:</w:t>
      </w:r>
      <w:r>
        <w:t xml:space="preserve"> </w:t>
      </w:r>
      <w:r>
        <w:t xml:space="preserve">- Apply our model to their own Collembola datasets</w:t>
      </w:r>
      <w:r>
        <w:t xml:space="preserve"> </w:t>
      </w:r>
      <w:r>
        <w:t xml:space="preserve">- Retrain on new species or imaging conditions</w:t>
      </w:r>
      <w:r>
        <w:t xml:space="preserve"> </w:t>
      </w:r>
      <w:r>
        <w:t xml:space="preserve">- Extend the pipeline for related microarthropods (e.g., mites, nematodes)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We present an automated pipeline for detecting and measuring Collembola in ultra-high-resolution microscope images, achieving: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99.2% mAP@0.5</w:t>
      </w:r>
      <w:r>
        <w:t xml:space="preserve"> </w:t>
      </w:r>
      <w:r>
        <w:t xml:space="preserve">detection accuracy through tiled YOLO11n approach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2.5× improvement</w:t>
      </w:r>
      <w:r>
        <w:t xml:space="preserve"> </w:t>
      </w:r>
      <w:r>
        <w:t xml:space="preserve">over image downscaling methods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178 organisms/second</w:t>
      </w:r>
      <w:r>
        <w:t xml:space="preserve"> </w:t>
      </w:r>
      <w:r>
        <w:t xml:space="preserve">morphometric processing via rotation-invariant ellipse fitting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~3 minutes end-to-end</w:t>
      </w:r>
      <w:r>
        <w:t xml:space="preserve"> </w:t>
      </w:r>
      <w:r>
        <w:t xml:space="preserve">processing per 10K×10K plate (~750 organisms)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186× speedup</w:t>
      </w:r>
      <w:r>
        <w:t xml:space="preserve"> </w:t>
      </w:r>
      <w:r>
        <w:t xml:space="preserve">compared to segmentation-based methods with minimal accuracy loss</w:t>
      </w:r>
    </w:p>
    <w:p>
      <w:pPr>
        <w:pStyle w:val="FirstParagraph"/>
      </w:pPr>
      <w:r>
        <w:t xml:space="preserve">This system transforms Collembola ecology by enabling high-throughput, reproducible analysis of soil microarthropod populations. The open-source implementation facilitates adoption across ecological research, ecotoxicology, and biodiversity monitoring.</w:t>
      </w:r>
    </w:p>
    <w:p>
      <w:r>
        <w:pict>
          <v:rect style="width:0;height:1.5pt" o:hralign="center" o:hrstd="t" o:hr="t"/>
        </w:pict>
      </w:r>
    </w:p>
    <w:bookmarkEnd w:id="44"/>
    <w:bookmarkStart w:id="45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This work was supported by [Funding Agency]. We thank [Collaborators] for providing annotated datasets and domain expertise in Collembola ecology.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Bednarska, A.J., et al. (2013). Automated counting of soil-dwelling springtails using image analysis.</w:t>
      </w:r>
      <w:r>
        <w:t xml:space="preserve"> </w:t>
      </w:r>
      <w:r>
        <w:rPr>
          <w:i/>
          <w:iCs/>
        </w:rPr>
        <w:t xml:space="preserve">Pedobiologia</w:t>
      </w:r>
      <w:r>
        <w:t xml:space="preserve">, 56(1), 27-31.</w:t>
      </w:r>
    </w:p>
    <w:p>
      <w:pPr>
        <w:pStyle w:val="BodyText"/>
      </w:pPr>
      <w:r>
        <w:t xml:space="preserve">Fountain, M.T., &amp; Hopkin, S.P. (2005). Folsomia candida (Collembola): A</w:t>
      </w:r>
      <w:r>
        <w:t xml:space="preserve"> </w:t>
      </w:r>
      <w:r>
        <w:t xml:space="preserve">“standard”</w:t>
      </w:r>
      <w:r>
        <w:t xml:space="preserve"> </w:t>
      </w:r>
      <w:r>
        <w:t xml:space="preserve">soil arthropod.</w:t>
      </w:r>
      <w:r>
        <w:t xml:space="preserve"> </w:t>
      </w:r>
      <w:r>
        <w:rPr>
          <w:i/>
          <w:iCs/>
        </w:rPr>
        <w:t xml:space="preserve">Annual Review of Entomology</w:t>
      </w:r>
      <w:r>
        <w:t xml:space="preserve">, 50, 201-222.</w:t>
      </w:r>
    </w:p>
    <w:p>
      <w:pPr>
        <w:pStyle w:val="BodyText"/>
      </w:pPr>
      <w:r>
        <w:t xml:space="preserve">Hopkin, S.P. (2007).</w:t>
      </w:r>
      <w:r>
        <w:t xml:space="preserve"> </w:t>
      </w:r>
      <w:r>
        <w:rPr>
          <w:i/>
          <w:iCs/>
        </w:rPr>
        <w:t xml:space="preserve">A Key to the Collembola (springtails) of Britain and Ireland</w:t>
      </w:r>
      <w:r>
        <w:t xml:space="preserve">. FSC Publications.</w:t>
      </w:r>
    </w:p>
    <w:p>
      <w:pPr>
        <w:pStyle w:val="BodyText"/>
      </w:pPr>
      <w:r>
        <w:t xml:space="preserve">Rusek, J. (1998). Biodiversity of Collembola and their functional role in the ecosystem.</w:t>
      </w:r>
      <w:r>
        <w:t xml:space="preserve"> </w:t>
      </w:r>
      <w:r>
        <w:rPr>
          <w:i/>
          <w:iCs/>
        </w:rPr>
        <w:t xml:space="preserve">Biodiversity &amp; Conservation</w:t>
      </w:r>
      <w:r>
        <w:t xml:space="preserve">, 7(9), 1207-1219.</w:t>
      </w:r>
    </w:p>
    <w:p>
      <w:pPr>
        <w:pStyle w:val="BodyText"/>
      </w:pPr>
      <w:r>
        <w:t xml:space="preserve">Ultralytics. (2024). YOLO11: State-of-the-art object detection. https://github.com/ultralytics/ultralytics</w:t>
      </w:r>
    </w:p>
    <w:p>
      <w:r>
        <w:pict>
          <v:rect style="width:0;height:1.5pt" o:hralign="center" o:hrstd="t" o:hr="t"/>
        </w:pict>
      </w:r>
    </w:p>
    <w:bookmarkEnd w:id="46"/>
    <w:bookmarkStart w:id="47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rPr>
          <w:b/>
          <w:bCs/>
        </w:rPr>
        <w:t xml:space="preserve">Jana Zovko</w:t>
      </w:r>
      <w:r>
        <w:t xml:space="preserve">: Conceptualization, data annotation, validation, writing - review &amp; editing</w:t>
      </w:r>
    </w:p>
    <w:p>
      <w:pPr>
        <w:pStyle w:val="BodyText"/>
      </w:pPr>
      <w:r>
        <w:rPr>
          <w:b/>
          <w:bCs/>
        </w:rPr>
        <w:t xml:space="preserve">Domagoj K. Hackenberger</w:t>
      </w:r>
      <w:r>
        <w:t xml:space="preserve">: Methodology, software, formal analysis, visualization, writing - original draft</w:t>
      </w:r>
    </w:p>
    <w:p>
      <w:r>
        <w:pict>
          <v:rect style="width:0;height:1.5pt" o:hralign="center" o:hrstd="t" o:hr="t"/>
        </w:pict>
      </w:r>
    </w:p>
    <w:bookmarkEnd w:id="47"/>
    <w:bookmarkStart w:id="48" w:name="data-availability"/>
    <w:p>
      <w:pPr>
        <w:pStyle w:val="Heading2"/>
      </w:pPr>
      <w:r>
        <w:t xml:space="preserve">Data Availability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Pre-trained model</w:t>
      </w:r>
      <w:r>
        <w:t xml:space="preserve">: Available at [Zenodo DOI] and HuggingFace Hub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Code</w:t>
      </w:r>
      <w:r>
        <w:t xml:space="preserve">: https://github.com/QuantEcoLab/collembolae_vis (AGPL-3.0 license)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Sample dataset</w:t>
      </w:r>
      <w:r>
        <w:t xml:space="preserve">: Subset of annotated images available upon reasonable request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dataset</w:t>
      </w:r>
      <w:r>
        <w:t xml:space="preserve">: Available under institutional data sharing agreements (contact corresponding author)</w:t>
      </w:r>
    </w:p>
    <w:p>
      <w:r>
        <w:pict>
          <v:rect style="width:0;height:1.5pt" o:hralign="center" o:hrstd="t" o:hr="t"/>
        </w:pict>
      </w:r>
    </w:p>
    <w:bookmarkEnd w:id="48"/>
    <w:bookmarkStart w:id="49" w:name="supplementary-materials"/>
    <w:p>
      <w:pPr>
        <w:pStyle w:val="Heading2"/>
      </w:pPr>
      <w:r>
        <w:t xml:space="preserve">Supplementary Materials</w:t>
      </w:r>
    </w:p>
    <w:p>
      <w:pPr>
        <w:pStyle w:val="FirstParagraph"/>
      </w:pPr>
      <w:r>
        <w:rPr>
          <w:b/>
          <w:bCs/>
        </w:rPr>
        <w:t xml:space="preserve">Supplementary Figure S1</w:t>
      </w:r>
      <w:r>
        <w:t xml:space="preserve">: Tiling strategy illustration showing overlap regions and detection merging</w:t>
      </w:r>
    </w:p>
    <w:p>
      <w:pPr>
        <w:pStyle w:val="BodyText"/>
      </w:pPr>
      <w:r>
        <w:rPr>
          <w:b/>
          <w:bCs/>
        </w:rPr>
        <w:t xml:space="preserve">Supplementary Figure S2</w:t>
      </w:r>
      <w:r>
        <w:t xml:space="preserve">: Example detections across varying organism densities (sparse, medium, dense)</w:t>
      </w:r>
    </w:p>
    <w:p>
      <w:pPr>
        <w:pStyle w:val="BodyText"/>
      </w:pPr>
      <w:r>
        <w:rPr>
          <w:b/>
          <w:bCs/>
        </w:rPr>
        <w:t xml:space="preserve">Supplementary Figure S3</w:t>
      </w:r>
      <w:r>
        <w:t xml:space="preserve">: Morphometric measurement validation: manual vs. automated measurements</w:t>
      </w:r>
    </w:p>
    <w:p>
      <w:pPr>
        <w:pStyle w:val="BodyText"/>
      </w:pPr>
      <w:r>
        <w:rPr>
          <w:b/>
          <w:bCs/>
        </w:rPr>
        <w:t xml:space="preserve">Supplementary Table S1</w:t>
      </w:r>
      <w:r>
        <w:t xml:space="preserve">: Per-plate detection statistics (all 20 training plates)</w:t>
      </w:r>
    </w:p>
    <w:p>
      <w:pPr>
        <w:pStyle w:val="BodyText"/>
      </w:pPr>
      <w:r>
        <w:rPr>
          <w:b/>
          <w:bCs/>
        </w:rPr>
        <w:t xml:space="preserve">Supplementary Table S2</w:t>
      </w:r>
      <w:r>
        <w:t xml:space="preserve">: Hyperparameter sensitivity analysis (confidence threshold, IoU threshold, tile overlap)</w:t>
      </w:r>
    </w:p>
    <w:p>
      <w:pPr>
        <w:pStyle w:val="BodyText"/>
      </w:pPr>
      <w:r>
        <w:rPr>
          <w:b/>
          <w:bCs/>
        </w:rPr>
        <w:t xml:space="preserve">Supplementary Code S1</w:t>
      </w:r>
      <w:r>
        <w:t xml:space="preserve">: Complete pipeline implementation (see GitHub repository)</w:t>
      </w:r>
    </w:p>
    <w:p>
      <w:pPr>
        <w:pStyle w:val="BodyText"/>
      </w:pPr>
      <w:r>
        <w:rPr>
          <w:b/>
          <w:bCs/>
        </w:rPr>
        <w:t xml:space="preserve">Conflict of Interest</w:t>
      </w:r>
      <w:r>
        <w:t xml:space="preserve">: The authors declare no competing interests.</w:t>
      </w:r>
    </w:p>
    <w:p>
      <w:pPr>
        <w:pStyle w:val="BodyText"/>
      </w:pPr>
      <w:r>
        <w:rPr>
          <w:b/>
          <w:bCs/>
        </w:rPr>
        <w:t xml:space="preserve">Preprint</w:t>
      </w:r>
      <w:r>
        <w:t xml:space="preserve">: This manuscript is available as a preprint at [bioRxiv DOI]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Information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 (Draft)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Unpublished manuscript draft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Journal</w:t>
      </w:r>
      <w:r>
        <w:t xml:space="preserve">: Methods in Ecology and Evolution / Ecological Informatics / PLOS ONE</w:t>
      </w:r>
    </w:p>
    <w:p>
      <w:r>
        <w:pict>
          <v:rect style="width:0;height:1.5pt" o:hralign="center" o:hrstd="t" o:hr="t"/>
        </w:pict>
      </w:r>
    </w:p>
    <w:bookmarkEnd w:id="49"/>
    <w:bookmarkStart w:id="53" w:name="notes-for-authors"/>
    <w:p>
      <w:pPr>
        <w:pStyle w:val="Heading2"/>
      </w:pPr>
      <w:r>
        <w:t xml:space="preserve">Notes for Authors</w:t>
      </w:r>
    </w:p>
    <w:bookmarkStart w:id="50" w:name="before-submission"/>
    <w:p>
      <w:pPr>
        <w:pStyle w:val="Heading3"/>
      </w:pPr>
      <w:r>
        <w:t xml:space="preserve">Before Submission: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actual references</w:t>
      </w:r>
      <w:r>
        <w:t xml:space="preserve">: Replace placeholder citations with full bibliographic entries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 institutional affiliations</w:t>
      </w:r>
      <w:r>
        <w:t xml:space="preserve">: Add author addresses and funding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Create supplementary figures</w:t>
      </w:r>
      <w:r>
        <w:t xml:space="preserve">: Generate publication-quality figures from pipeline outputs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Statistical validation</w:t>
      </w:r>
      <w:r>
        <w:t xml:space="preserve">: Add inter-observer variability analysis (manual vs. automated counts)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Extended validation</w:t>
      </w:r>
      <w:r>
        <w:t xml:space="preserve">: Test on additional plates beyond the 20 training images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Species comparison</w:t>
      </w:r>
      <w:r>
        <w:t xml:space="preserve">: If applicable, compare performance across multiple Collembola species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DOIs</w:t>
      </w:r>
      <w:r>
        <w:t xml:space="preserve">: Publish model to Zenodo and update with actual DOI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Preprint deposition</w:t>
      </w:r>
      <w:r>
        <w:t xml:space="preserve">: Upload to bioRxiv or EcoEvoRxiv before journal submission</w:t>
      </w:r>
    </w:p>
    <w:bookmarkEnd w:id="50"/>
    <w:bookmarkStart w:id="51" w:name="suggested-additional-analyses"/>
    <w:p>
      <w:pPr>
        <w:pStyle w:val="Heading3"/>
      </w:pPr>
      <w:r>
        <w:t xml:space="preserve">Suggested Additional Analyses: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Detection confidence distribution</w:t>
      </w:r>
      <w:r>
        <w:t xml:space="preserve">: Histogram showing confidence scores of true vs. false positives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Size-accuracy relationship</w:t>
      </w:r>
      <w:r>
        <w:t xml:space="preserve">: Does detection accuracy vary with organism size?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Edge effects</w:t>
      </w:r>
      <w:r>
        <w:t xml:space="preserve">: Quantify detection rates near image boundaries vs. central regions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Treatment group comparison</w:t>
      </w:r>
      <w:r>
        <w:t xml:space="preserve">: Statistical comparison of Fe₂O₃ vs. microplastic plates (organism density, size distributions)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Cross-validation</w:t>
      </w:r>
      <w:r>
        <w:t xml:space="preserve">: K-fold validation on the 20 plates instead of single train/val split</w:t>
      </w:r>
    </w:p>
    <w:bookmarkEnd w:id="51"/>
    <w:bookmarkStart w:id="52" w:name="target-journal-guidelines"/>
    <w:p>
      <w:pPr>
        <w:pStyle w:val="Heading3"/>
      </w:pPr>
      <w:r>
        <w:t xml:space="preserve">Target Journal Guidelines:</w:t>
      </w:r>
    </w:p>
    <w:p>
      <w:pPr>
        <w:pStyle w:val="FirstParagraph"/>
      </w:pPr>
      <w:r>
        <w:rPr>
          <w:b/>
          <w:bCs/>
        </w:rPr>
        <w:t xml:space="preserve">Methods in Ecology and Evolution</w:t>
      </w:r>
      <w:r>
        <w:t xml:space="preserve">:</w:t>
      </w:r>
      <w:r>
        <w:t xml:space="preserve"> </w:t>
      </w:r>
      <w:r>
        <w:t xml:space="preserve">- Emphasize methodological innovation and applicability to broader ecological questions</w:t>
      </w:r>
      <w:r>
        <w:t xml:space="preserve"> </w:t>
      </w:r>
      <w:r>
        <w:t xml:space="preserve">- Include detailed workflow diagrams</w:t>
      </w:r>
      <w:r>
        <w:t xml:space="preserve"> </w:t>
      </w:r>
      <w:r>
        <w:t xml:space="preserve">- Provide clear guidance on software installation and use</w:t>
      </w:r>
    </w:p>
    <w:p>
      <w:pPr>
        <w:pStyle w:val="BodyText"/>
      </w:pPr>
      <w:r>
        <w:rPr>
          <w:b/>
          <w:bCs/>
        </w:rPr>
        <w:t xml:space="preserve">Ecological Informatics</w:t>
      </w:r>
      <w:r>
        <w:t xml:space="preserve">:</w:t>
      </w:r>
      <w:r>
        <w:t xml:space="preserve"> </w:t>
      </w:r>
      <w:r>
        <w:t xml:space="preserve">- Highlight computational efficiency and scalability</w:t>
      </w:r>
      <w:r>
        <w:t xml:space="preserve"> </w:t>
      </w:r>
      <w:r>
        <w:t xml:space="preserve">- Include algorithm complexity analysis</w:t>
      </w:r>
      <w:r>
        <w:t xml:space="preserve"> </w:t>
      </w:r>
      <w:r>
        <w:t xml:space="preserve">- Discuss data standards and interoperability</w:t>
      </w:r>
    </w:p>
    <w:p>
      <w:pPr>
        <w:pStyle w:val="BodyText"/>
      </w:pPr>
      <w:r>
        <w:rPr>
          <w:b/>
          <w:bCs/>
        </w:rPr>
        <w:t xml:space="preserve">PLOS ONE</w:t>
      </w:r>
      <w:r>
        <w:t xml:space="preserve">:</w:t>
      </w:r>
      <w:r>
        <w:t xml:space="preserve"> </w:t>
      </w:r>
      <w:r>
        <w:t xml:space="preserve">- Broader scope, emphasize scientific rigor and reproducibility</w:t>
      </w:r>
      <w:r>
        <w:t xml:space="preserve"> </w:t>
      </w:r>
      <w:r>
        <w:t xml:space="preserve">- Include detailed validation and statistical analyses</w:t>
      </w:r>
      <w:r>
        <w:t xml:space="preserve"> </w:t>
      </w:r>
      <w:r>
        <w:t xml:space="preserve">- Open access aligns with open-source software philosophy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2026-01-26T15:57:33Z</dcterms:created>
  <dcterms:modified xsi:type="dcterms:W3CDTF">2026-01-26T15:57:33Z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