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210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center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  <w:b/>
          <w:sz w:val="36"/>
        </w:rPr>
        <w:t>时序模型实验说明</w:t>
      </w:r>
    </w:p>
    <w:p w14:paraId="3A6EB1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jc w:val="center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  <w:b w:val="0"/>
          <w:sz w:val="22"/>
        </w:rPr>
        <w:t>当前正式模型输出：best_model_C_selected.pth + member_C_results_selected.txt</w:t>
      </w:r>
      <w:r>
        <w:rPr>
          <w:rFonts w:hint="eastAsia" w:ascii="Times New Roman" w:hAnsi="Times New Roman" w:eastAsia="宋体" w:cs="宋体"/>
          <w:b w:val="0"/>
          <w:sz w:val="22"/>
        </w:rPr>
        <w:br w:type="textWrapping"/>
      </w:r>
    </w:p>
    <w:p w14:paraId="63D73D3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Times New Roman" w:hAnsi="Times New Roman" w:eastAsia="宋体" w:cs="宋体"/>
          <w:b/>
          <w:sz w:val="32"/>
        </w:rPr>
      </w:pPr>
      <w:r>
        <w:rPr>
          <w:rFonts w:hint="eastAsia" w:ascii="Times New Roman" w:hAnsi="Times New Roman" w:eastAsia="宋体" w:cs="宋体"/>
          <w:b/>
          <w:sz w:val="32"/>
        </w:rPr>
        <w:t>摘 要</w:t>
      </w:r>
    </w:p>
    <w:p w14:paraId="3DB3D9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针对原始 24 维特征中存在冗余的问题，本实验引入基于 RandomForest 的 Top-8 特征筛选机制，并在严格避免数据泄露的前提下训练 GRU 模型。经修正后的回测逻辑（真实可执行策略）验证，模型在测试集上取得 AUC = 0.5341（略高于随机），但 F1-Score 仅为 0.0844，策略胜率约 17%，且仅在 4.05% 的交易日发出信号。回测结果显示：策略因长期空仓而小幅跑赢 Buy &amp; Hold（最终收益 0.90 vs 0.68），但未能捕捉任何显著上涨行情，亦无法形成可持续盈利模式。结论表明：在当前特征体系下，短期方向预测不具备实用交易价值，但本实验为项目提供了严谨的 baseline 与可复现的建模流程。</w:t>
      </w:r>
    </w:p>
    <w:p w14:paraId="00148C3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Times New Roman" w:hAnsi="Times New Roman" w:eastAsia="宋体" w:cs="宋体"/>
          <w:b/>
          <w:sz w:val="32"/>
        </w:rPr>
      </w:pPr>
      <w:r>
        <w:rPr>
          <w:rFonts w:hint="eastAsia" w:ascii="Times New Roman" w:hAnsi="Times New Roman" w:eastAsia="宋体" w:cs="宋体"/>
          <w:b/>
          <w:sz w:val="32"/>
        </w:rPr>
        <w:t>1 实验背景与动机</w:t>
      </w:r>
    </w:p>
    <w:p w14:paraId="00A901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初始全特征 GRU 模型因特征冗余导致 F1-Score 为 0。为提升信噪比，本实验采用监督式特征选择，聚焦于对目标变量最具解释力的子集。同时，早期回测逻辑存在“上帝视角”偏差（仅在预测正确时计收益），本次已修正为真实可执行策略：只要模型预测次日上涨，即在当日收盘买入，次日收盘卖出。</w:t>
      </w:r>
    </w:p>
    <w:p w14:paraId="7B3D2FE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Times New Roman" w:hAnsi="Times New Roman" w:eastAsia="宋体" w:cs="宋体"/>
          <w:b/>
          <w:sz w:val="32"/>
        </w:rPr>
      </w:pPr>
      <w:r>
        <w:rPr>
          <w:rFonts w:hint="eastAsia" w:ascii="Times New Roman" w:hAnsi="Times New Roman" w:eastAsia="宋体" w:cs="宋体"/>
          <w:b/>
          <w:sz w:val="32"/>
        </w:rPr>
        <w:t>2 方法与流程</w:t>
      </w:r>
    </w:p>
    <w:p w14:paraId="0EAE060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Times New Roman" w:hAnsi="Times New Roman" w:eastAsia="宋体" w:cs="宋体"/>
          <w:b/>
          <w:sz w:val="24"/>
          <w:szCs w:val="22"/>
        </w:rPr>
      </w:pPr>
      <w:r>
        <w:rPr>
          <w:rFonts w:hint="eastAsia" w:ascii="Times New Roman" w:hAnsi="Times New Roman" w:eastAsia="宋体" w:cs="宋体"/>
          <w:b/>
          <w:sz w:val="24"/>
          <w:szCs w:val="22"/>
        </w:rPr>
        <w:t>2.1 特征筛选</w:t>
      </w:r>
    </w:p>
    <w:p w14:paraId="238AC6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使用训练集（前 70%）训练 RandomForest 分类器</w:t>
      </w:r>
    </w:p>
    <w:p w14:paraId="70CF4E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提取特征重要性，保留 Top-8：</w:t>
      </w:r>
    </w:p>
    <w:p w14:paraId="5ED47D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 xml:space="preserve">    ['ret_1d', 'ret_3d', 'fees', 'fees_per_tx', </w:t>
      </w:r>
    </w:p>
    <w:p w14:paraId="3EC5A5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 xml:space="preserve">   'active_addresses_change', 'volume_change', 'tx_count', 'ma_ratio_7_30']</w:t>
      </w:r>
    </w:p>
    <w:p w14:paraId="6204BF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所有特征均为当日可得的链上或价格衍生指标，无未来信息</w:t>
      </w:r>
    </w:p>
    <w:p w14:paraId="1F6359D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Times New Roman" w:hAnsi="Times New Roman" w:eastAsia="宋体" w:cs="宋体"/>
          <w:b/>
          <w:sz w:val="24"/>
          <w:szCs w:val="22"/>
        </w:rPr>
      </w:pPr>
      <w:r>
        <w:rPr>
          <w:rFonts w:hint="eastAsia" w:ascii="Times New Roman" w:hAnsi="Times New Roman" w:eastAsia="宋体" w:cs="宋体"/>
          <w:b/>
          <w:sz w:val="24"/>
          <w:szCs w:val="22"/>
        </w:rPr>
        <w:t>2.2 模型与训练</w:t>
      </w:r>
    </w:p>
    <w:p w14:paraId="7CC042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架构：单层 GRU（hidden_size=32）</w:t>
      </w:r>
    </w:p>
    <w:p w14:paraId="612C46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序列长度：10 日</w:t>
      </w:r>
    </w:p>
    <w:p w14:paraId="64DFF2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学习率：5e-4</w:t>
      </w:r>
    </w:p>
    <w:p w14:paraId="1D0BAF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类别平衡：BCEWithLogitsLoss with pos_weight</w:t>
      </w:r>
    </w:p>
    <w:p w14:paraId="433A85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划分：时序划分（70%:15%:15%）</w:t>
      </w:r>
    </w:p>
    <w:p w14:paraId="17EC0DF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Times New Roman" w:hAnsi="Times New Roman" w:eastAsia="宋体" w:cs="宋体"/>
          <w:b/>
          <w:sz w:val="24"/>
          <w:szCs w:val="22"/>
        </w:rPr>
      </w:pPr>
      <w:r>
        <w:rPr>
          <w:rFonts w:hint="eastAsia" w:ascii="Times New Roman" w:hAnsi="Times New Roman" w:eastAsia="宋体" w:cs="宋体"/>
          <w:b/>
          <w:sz w:val="24"/>
          <w:szCs w:val="22"/>
          <w:lang w:val="en-US" w:eastAsia="zh-CN"/>
        </w:rPr>
        <w:t>2</w:t>
      </w:r>
      <w:r>
        <w:rPr>
          <w:rFonts w:hint="eastAsia" w:ascii="Times New Roman" w:hAnsi="Times New Roman" w:eastAsia="宋体" w:cs="宋体"/>
          <w:b/>
          <w:sz w:val="24"/>
          <w:szCs w:val="22"/>
        </w:rPr>
        <w:t>.3 回测逻辑（关键修正）</w:t>
      </w:r>
    </w:p>
    <w:p w14:paraId="1CCE4B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旧逻辑（错误）：仅当预测上涨且实际上涨时，才获得收益。</w:t>
      </w:r>
    </w:p>
    <w:p w14:paraId="095D61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新逻辑（正确）：只要预测次日上涨，即在当日买入，承担次日实际涨跌。</w:t>
      </w:r>
    </w:p>
    <w:p w14:paraId="5B2817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此修正确保策略在现实中可执行。</w:t>
      </w:r>
    </w:p>
    <w:p w14:paraId="142A422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Times New Roman" w:hAnsi="Times New Roman" w:eastAsia="宋体" w:cs="宋体"/>
          <w:b/>
          <w:sz w:val="24"/>
          <w:szCs w:val="22"/>
        </w:rPr>
      </w:pPr>
      <w:r>
        <w:rPr>
          <w:rFonts w:hint="eastAsia" w:ascii="Times New Roman" w:hAnsi="Times New Roman" w:eastAsia="宋体" w:cs="宋体"/>
          <w:b/>
          <w:sz w:val="24"/>
          <w:szCs w:val="22"/>
          <w:lang w:val="en-US" w:eastAsia="zh-CN"/>
        </w:rPr>
        <w:t>2</w:t>
      </w:r>
      <w:r>
        <w:rPr>
          <w:rFonts w:hint="eastAsia" w:ascii="Times New Roman" w:hAnsi="Times New Roman" w:eastAsia="宋体" w:cs="宋体"/>
          <w:b/>
          <w:sz w:val="24"/>
          <w:szCs w:val="22"/>
        </w:rPr>
        <w:t>.4 评估指标</w:t>
      </w:r>
    </w:p>
    <w:p w14:paraId="131F49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主指标：F1-Score、AUC、策略胜率（Precision）</w:t>
      </w:r>
    </w:p>
    <w:p w14:paraId="22D169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对比基线：Buy &amp; Hold（同期 BTC 持有收益）</w:t>
      </w:r>
    </w:p>
    <w:p w14:paraId="6FA15D8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Times New Roman" w:hAnsi="Times New Roman" w:eastAsia="宋体" w:cs="宋体"/>
          <w:b/>
          <w:sz w:val="32"/>
        </w:rPr>
      </w:pPr>
      <w:r>
        <w:rPr>
          <w:rFonts w:hint="eastAsia" w:ascii="Times New Roman" w:hAnsi="Times New Roman" w:eastAsia="宋体" w:cs="宋体"/>
          <w:b/>
          <w:sz w:val="32"/>
        </w:rPr>
        <w:t>3 实验结果</w:t>
      </w:r>
    </w:p>
    <w:p w14:paraId="3F3ECE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drawing>
          <wp:inline distT="0" distB="0" distL="114300" distR="114300">
            <wp:extent cx="3943350" cy="25908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7E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注：测试期内 BTC 先涨后跌，Buy &amp; Hold 最终收益为 0.68（-32% 回撤），GRU 策略因长期空仓，最终收益为 0.90（-10% 回撤）。</w:t>
      </w:r>
    </w:p>
    <w:p w14:paraId="1E6137C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Times New Roman" w:hAnsi="Times New Roman" w:eastAsia="宋体" w:cs="宋体"/>
          <w:b/>
          <w:sz w:val="32"/>
        </w:rPr>
      </w:pPr>
      <w:r>
        <w:rPr>
          <w:rFonts w:hint="eastAsia" w:ascii="Times New Roman" w:hAnsi="Times New Roman" w:eastAsia="宋体" w:cs="宋体"/>
          <w:b/>
          <w:sz w:val="32"/>
        </w:rPr>
        <w:t>4 归因与讨论</w:t>
      </w:r>
    </w:p>
    <w:p w14:paraId="33ABC80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Times New Roman" w:hAnsi="Times New Roman" w:eastAsia="宋体" w:cs="宋体"/>
          <w:b/>
          <w:sz w:val="24"/>
          <w:szCs w:val="22"/>
        </w:rPr>
      </w:pPr>
      <w:r>
        <w:rPr>
          <w:rFonts w:hint="eastAsia" w:ascii="Times New Roman" w:hAnsi="Times New Roman" w:eastAsia="宋体" w:cs="宋体"/>
          <w:b/>
          <w:sz w:val="24"/>
          <w:szCs w:val="22"/>
        </w:rPr>
        <w:t>4.1 为何 F1 仍较低？</w:t>
      </w:r>
    </w:p>
    <w:p w14:paraId="082102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市场有效性：BTC 次日方向主要由不可预测事件驱动</w:t>
      </w:r>
    </w:p>
    <w:p w14:paraId="6BD75C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信号微弱：所选特征仅提供边际优势（AUC ≈ 0.53）</w:t>
      </w:r>
    </w:p>
    <w:p w14:paraId="6247D2A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模型保守：为避免误判上涨（高代价），模型仅在高置信度时预测“上涨”</w:t>
      </w:r>
    </w:p>
    <w:p w14:paraId="650993D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Times New Roman" w:hAnsi="Times New Roman" w:eastAsia="宋体" w:cs="宋体"/>
          <w:b/>
          <w:sz w:val="24"/>
          <w:szCs w:val="22"/>
        </w:rPr>
      </w:pPr>
      <w:r>
        <w:rPr>
          <w:rFonts w:hint="eastAsia" w:ascii="Times New Roman" w:hAnsi="Times New Roman" w:eastAsia="宋体" w:cs="宋体"/>
          <w:b/>
          <w:sz w:val="24"/>
          <w:szCs w:val="22"/>
          <w:lang w:val="en-US" w:eastAsia="zh-CN"/>
        </w:rPr>
        <w:t xml:space="preserve">4.2 </w:t>
      </w:r>
      <w:r>
        <w:rPr>
          <w:rFonts w:hint="eastAsia" w:ascii="Times New Roman" w:hAnsi="Times New Roman" w:eastAsia="宋体" w:cs="宋体"/>
          <w:b/>
          <w:sz w:val="24"/>
          <w:szCs w:val="22"/>
        </w:rPr>
        <w:t>为何策略表现平庸？</w:t>
      </w:r>
    </w:p>
    <w:p w14:paraId="2C6761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信号稀疏：模型仅在 4.05% 的日子预测上涨，严重错失行情</w:t>
      </w:r>
    </w:p>
    <w:p w14:paraId="34F46E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精度不足：预测上涨日中仅 17% 实际上涨，多数交易亏损</w:t>
      </w:r>
    </w:p>
    <w:p w14:paraId="5557DE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市场有效性：BTC 短期方向受不可预测事件主导，历史特征解释力有限</w:t>
      </w:r>
    </w:p>
    <w:p w14:paraId="456969B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Times New Roman" w:hAnsi="Times New Roman" w:eastAsia="宋体" w:cs="宋体"/>
          <w:b/>
          <w:sz w:val="24"/>
          <w:szCs w:val="22"/>
        </w:rPr>
      </w:pPr>
      <w:r>
        <w:rPr>
          <w:rFonts w:hint="eastAsia" w:ascii="Times New Roman" w:hAnsi="Times New Roman" w:eastAsia="宋体" w:cs="宋体"/>
          <w:b/>
          <w:sz w:val="24"/>
          <w:szCs w:val="22"/>
        </w:rPr>
        <w:t>4.</w:t>
      </w:r>
      <w:r>
        <w:rPr>
          <w:rFonts w:hint="eastAsia" w:ascii="Times New Roman" w:hAnsi="Times New Roman" w:eastAsia="宋体" w:cs="宋体"/>
          <w:b/>
          <w:sz w:val="24"/>
          <w:szCs w:val="22"/>
          <w:lang w:val="en-US" w:eastAsia="zh-CN"/>
        </w:rPr>
        <w:t>3</w:t>
      </w:r>
      <w:r>
        <w:rPr>
          <w:rFonts w:hint="eastAsia" w:ascii="Times New Roman" w:hAnsi="Times New Roman" w:eastAsia="宋体" w:cs="宋体"/>
          <w:b/>
          <w:sz w:val="24"/>
          <w:szCs w:val="22"/>
        </w:rPr>
        <w:t xml:space="preserve"> 科学价值</w:t>
      </w:r>
    </w:p>
    <w:p w14:paraId="60F9A7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验证了链上指标的有限预测力：fees、active_addresses_change 等反映网络活跃度，与短期情绪相关</w:t>
      </w:r>
    </w:p>
    <w:p w14:paraId="16190E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证明特征质量 &gt; 特征数量：从 24 维降至 8 维后，F1 从 0 → 0.0844</w:t>
      </w:r>
    </w:p>
    <w:p w14:paraId="026880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提供可复现基线：后续可在此基础上尝试集成、阈值优化或信号融合</w:t>
      </w:r>
    </w:p>
    <w:p w14:paraId="7A78B6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验证了方法严谨性：无数据泄露、特征合理、回测可执行</w:t>
      </w:r>
    </w:p>
    <w:p w14:paraId="15887F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提供了可靠 baseline：AUC &gt; 0.5 表明存在微弱统计信号，但不足以支撑交易</w:t>
      </w:r>
    </w:p>
    <w:p w14:paraId="59DC79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揭示了任务难度：短期方向预测在加密货币市场中极难实现，需转向更现实目标（如波动率预测、风险预警）</w:t>
      </w:r>
    </w:p>
    <w:p w14:paraId="36BEF25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Times New Roman" w:hAnsi="Times New Roman" w:eastAsia="宋体" w:cs="宋体"/>
          <w:b/>
          <w:sz w:val="32"/>
        </w:rPr>
      </w:pPr>
      <w:r>
        <w:rPr>
          <w:rFonts w:hint="eastAsia" w:ascii="Times New Roman" w:hAnsi="Times New Roman" w:eastAsia="宋体" w:cs="宋体"/>
          <w:b/>
          <w:sz w:val="32"/>
        </w:rPr>
        <w:t>5 交付物</w:t>
      </w:r>
    </w:p>
    <w:p w14:paraId="00E3BA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模型权重：results/best_model_C_selected.pth</w:t>
      </w:r>
    </w:p>
    <w:p w14:paraId="221780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性能报告：results/member_C_results_selected.txt</w:t>
      </w:r>
    </w:p>
    <w:p w14:paraId="38FD6C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回测图表：results/gru_backtest_returns.png</w:t>
      </w:r>
    </w:p>
    <w:p w14:paraId="459391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特征列表：见上述 Top-8</w:t>
      </w:r>
    </w:p>
    <w:p w14:paraId="40FF600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  <w:b/>
          <w:sz w:val="32"/>
        </w:rPr>
        <w:t>6 结论</w:t>
      </w:r>
    </w:p>
    <w:p w14:paraId="6EDFD7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  <w:lang w:val="en-US" w:eastAsia="zh-CN"/>
        </w:rPr>
      </w:pPr>
      <w:r>
        <w:rPr>
          <w:rFonts w:hint="eastAsia" w:ascii="Times New Roman" w:hAnsi="Times New Roman" w:eastAsia="宋体" w:cs="宋体"/>
          <w:lang w:val="en-US" w:eastAsia="zh-CN"/>
        </w:rPr>
        <w:t>本实验通过严谨的特征工程与建模流程，在排除数据泄露的前提下，构建了一个统计显著但交易无效的 GRU 模型。尽管其 AUC 略高于随机（0.5341），但极低的 F1-Score（0.0844）与策略胜率（17%）表明：该模型无法提供可盈利的交易信号。其回测收益优势完全源于长期空仓，而非预测能力。这一结果并非失败，而是对“短期方向可预测性”假设的重要证伪。建议团队后续工作聚焦于：</w:t>
      </w:r>
    </w:p>
    <w:p w14:paraId="241748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  <w:lang w:val="en-US" w:eastAsia="zh-CN"/>
        </w:rPr>
      </w:pPr>
      <w:r>
        <w:rPr>
          <w:rFonts w:hint="eastAsia" w:ascii="Times New Roman" w:hAnsi="Times New Roman" w:eastAsia="宋体" w:cs="宋体"/>
          <w:lang w:val="en-US" w:eastAsia="zh-CN"/>
        </w:rPr>
        <w:t>替代目标：预测波动率、极端事件或流动性风险</w:t>
      </w:r>
    </w:p>
    <w:p w14:paraId="2E7F9F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  <w:lang w:val="en-US" w:eastAsia="zh-CN"/>
        </w:rPr>
      </w:pPr>
      <w:r>
        <w:rPr>
          <w:rFonts w:hint="eastAsia" w:ascii="Times New Roman" w:hAnsi="Times New Roman" w:eastAsia="宋体" w:cs="宋体"/>
          <w:lang w:val="en-US" w:eastAsia="zh-CN"/>
        </w:rPr>
        <w:t>多因子融合：将此微弱信号作为辅助组件，而非独立策略</w:t>
      </w:r>
    </w:p>
    <w:p w14:paraId="0D7E2A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/>
        <w:jc w:val="both"/>
        <w:textAlignment w:val="auto"/>
        <w:rPr>
          <w:rFonts w:hint="eastAsia" w:ascii="Times New Roman" w:hAnsi="Times New Roman" w:eastAsia="宋体" w:cs="宋体"/>
          <w:lang w:val="en-US" w:eastAsia="zh-CN"/>
        </w:rPr>
      </w:pPr>
      <w:r>
        <w:rPr>
          <w:rFonts w:hint="eastAsia" w:ascii="Times New Roman" w:hAnsi="Times New Roman" w:eastAsia="宋体" w:cs="宋体"/>
          <w:lang w:val="en-US" w:eastAsia="zh-CN"/>
        </w:rPr>
        <w:t>强化学习框架：直接优化收益函数，而非分类准确率</w:t>
      </w:r>
      <w:bookmarkStart w:id="0" w:name="_GoBack"/>
      <w:bookmarkEnd w:id="0"/>
    </w:p>
    <w:sectPr>
      <w:footerReference r:id="rId5" w:type="default"/>
      <w:pgSz w:w="12240" w:h="15840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8BB3C">
    <w:pPr>
      <w:pStyle w:val="24"/>
      <w:jc w:val="center"/>
    </w:pPr>
    <w:r>
      <w:rPr>
        <w:rFonts w:ascii="Times New Roman" w:hAnsi="Times New Roman" w:eastAsia="宋体"/>
        <w:b w:val="0"/>
        <w:sz w:val="20"/>
      </w:rPr>
      <w:fldChar w:fldCharType="begin"/>
    </w:r>
    <w:r>
      <w:rPr>
        <w:rFonts w:ascii="Times New Roman" w:hAnsi="Times New Roman" w:eastAsia="宋体"/>
        <w:b w:val="0"/>
        <w:sz w:val="20"/>
      </w:rPr>
      <w:instrText xml:space="preserve"> PAGE </w:instrText>
    </w:r>
    <w:r>
      <w:rPr>
        <w:rFonts w:ascii="Times New Roman" w:hAnsi="Times New Roman" w:eastAsia="宋体"/>
        <w:b w:val="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NhYmJkODc2NTI1Y2UwY2E0MWI0YzdlNmU2MDcxMjk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BF5119"/>
    <w:rsid w:val="18E017F1"/>
    <w:rsid w:val="3B8B3621"/>
    <w:rsid w:val="7098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519</Words>
  <Characters>871</Characters>
  <Lines>0</Lines>
  <Paragraphs>0</Paragraphs>
  <TotalTime>37</TotalTime>
  <ScaleCrop>false</ScaleCrop>
  <LinksUpToDate>false</LinksUpToDate>
  <CharactersWithSpaces>930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WPS_1623462974</cp:lastModifiedBy>
  <dcterms:modified xsi:type="dcterms:W3CDTF">2026-03-26T05:57:11Z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E34C5BA3E5E34E2DA12C55946E49EE9F</vt:lpwstr>
  </property>
  <property fmtid="{D5CDD505-2E9C-101B-9397-08002B2CF9AE}" pid="4" name="KSOTemplateDocerSaveRecord">
    <vt:lpwstr>eyJoZGlkIjoiYzQ4MGRmZTc2OTZjZGMxYjcyMTQxMDM1NTFhZDQ1ODUiLCJ1c2VySWQiOiIxMjE1OTAwNTk1In0=</vt:lpwstr>
  </property>
</Properties>
</file>