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2024-02-01</w:t>
      </w:r>
    </w:p>
    <w:bookmarkStart w:id="22"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a prediction model for delirium and cognitive decline.</w:t>
      </w:r>
    </w:p>
    <w:bookmarkEnd w:id="20"/>
    <w:bookmarkStart w:id="21" w:name="todays-2024-02-02-goal"/>
    <w:p>
      <w:pPr>
        <w:pStyle w:val="Heading2"/>
      </w:pPr>
      <w:r>
        <w:t xml:space="preserve">Today’s (2024-02-02) goal</w:t>
      </w:r>
    </w:p>
    <w:p>
      <w:pPr>
        <w:pStyle w:val="FirstParagraph"/>
      </w:pPr>
      <w:r>
        <w:t xml:space="preserve">Review the variables that made it through our selection process for inclusion into the model.</w:t>
      </w:r>
    </w:p>
    <w:bookmarkEnd w:id="21"/>
    <w:bookmarkEnd w:id="22"/>
    <w:bookmarkStart w:id="23"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p>
      <w:r>
        <w:br w:type="page"/>
      </w:r>
    </w:p>
    <w:bookmarkEnd w:id="23"/>
    <w:bookmarkStart w:id="24"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4"/>
    <w:bookmarkStart w:id="31" w:name="summary-of-lab-values"/>
    <w:p>
      <w:pPr>
        <w:pStyle w:val="Heading1"/>
      </w:pPr>
      <w:r>
        <w:t xml:space="preserve">Summary of lab values</w:t>
      </w:r>
    </w:p>
    <w:bookmarkStart w:id="25" w:name="missing-values"/>
    <w:p>
      <w:pPr>
        <w:pStyle w:val="Heading2"/>
      </w:pPr>
      <w:r>
        <w:t xml:space="preserve">Missing values</w:t>
      </w:r>
    </w:p>
    <w:p>
      <w:pPr>
        <w:pStyle w:val="FirstParagraph"/>
      </w:pPr>
      <w:r>
        <w:t xml:space="preserve">These are the lab values that were dropped for having more than 50% missing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025"/>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566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ALT (IU/L) (Pre-op)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(15, 23)</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r>
      <w:tr>
        <w:trPr>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AST (IU/L)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(18.0, 25.0)</w:t>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Bilirubin (mg/dL)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(0.30, 0.50)</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w:t>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Albumin (g/dL)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(4.07, 4.40)</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ABG: pH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7.38 (7.34, 7.43)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p02 (mmHg)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 (104, 203)</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r>
      <w:tr>
        <w:trPr>
          <w:trHeight w:val="62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pCO2 (mmHg)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(37, 43)</w:t>
            </w:r>
          </w:p>
        </w:tc>
      </w:tr>
      <w:tr>
        <w:trPr>
          <w:trHeight w:val="573"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w:t>
            </w:r>
          </w:p>
        </w:tc>
      </w:tr>
    </w:tbl>
    <w:p>
      <w:pPr>
        <w:pStyle w:val="BodyText"/>
      </w:pPr>
      <w:r>
        <w:t xml:space="preserve">Imputation was done on the remaining lab values using predictive mean matching.</w:t>
      </w:r>
    </w:p>
    <w:p>
      <w:r>
        <w:br w:type="page"/>
      </w:r>
    </w:p>
    <w:bookmarkEnd w:id="25"/>
    <w:bookmarkStart w:id="26"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6"/>
    <w:bookmarkStart w:id="30" w:name="pre-op-labs"/>
    <w:p>
      <w:pPr>
        <w:pStyle w:val="Heading2"/>
      </w:pPr>
      <w:r>
        <w:t xml:space="preserve">Pre-op labs</w:t>
      </w:r>
    </w:p>
    <w:bookmarkStart w:id="27"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71"/>
        <w:gridCol w:w="1548"/>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566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WBC &lt;= 2 or WBC &gt;= 15 (Pre-op)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WBC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561 (99%)</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WBC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HCT &lt;= 21 or HCT &gt;= 62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 &gt;= 50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 (99%)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(1.2%)</w:t>
            </w:r>
          </w:p>
        </w:tc>
      </w:tr>
      <w:tr>
        <w:trPr>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CRE &gt;= 5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SOD &lt;= 120 or SOD &gt;= 160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POT &lt;= 2.9 or POT &gt;= 6.0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563 (99%)</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(0.5%)</w:t>
            </w:r>
          </w:p>
        </w:tc>
      </w:tr>
      <w:tr>
        <w:trPr>
          <w:trHeight w:val="61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CHL &lt;= 85 or CHL &gt;= 115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CHL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CHL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BIC &lt;= 10 or BIC &gt;= 40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GLU &lt;= 40 or GLU &gt;= 400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GLU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(100%)</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GLU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O2 &lt;= 87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BUN/CRE &gt;= 18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(24%)</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 (76%)</w:t>
            </w:r>
          </w:p>
        </w:tc>
      </w:tr>
      <w:tr>
        <w:trPr>
          <w:trHeight w:val="61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Anion Gap &gt;= 16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Anion Gap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 (81%)</w:t>
            </w:r>
          </w:p>
        </w:tc>
      </w:tr>
      <w:tr>
        <w:trPr>
          <w:trHeight w:val="619"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Anion Gap abnormal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r>
        <w:br w:type="page"/>
      </w:r>
    </w:p>
    <w:bookmarkEnd w:id="27"/>
    <w:bookmarkStart w:id="28" w:name="pod1-labs"/>
    <w:p>
      <w:pPr>
        <w:pStyle w:val="Heading3"/>
      </w:pPr>
      <w:r>
        <w:t xml:space="preserve">POD1 labs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10"/>
        <w:gridCol w:w="1548"/>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566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WBC &lt;= 2 or WBC &gt;= 15 (POD1)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WBC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521 (92%)</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WBC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(8.0%)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HCT &lt;= 21 or HCT &gt;= 62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 (99%)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(0.7%)</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 &gt;= 50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 (99%)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(0.7%)</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CRE &gt;= 5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SOD &lt;= 120 or SOD &gt;= 160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POT &lt;= 2.9 or POT &gt;= 6.0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558 (99%)</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r>
      <w:tr>
        <w:trPr>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BIC &lt;= 10 or BIC &gt;= 40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 (100%)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O2 &lt;= 87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 (98%)</w:t>
            </w:r>
          </w:p>
        </w:tc>
      </w:tr>
      <w:tr>
        <w:trPr>
          <w:trHeight w:val="616"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abnormal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r>
        <w:br w:type="page"/>
      </w:r>
    </w:p>
    <w:bookmarkEnd w:id="28"/>
    <w:bookmarkStart w:id="29" w:name="pod2-labs"/>
    <w:p>
      <w:pPr>
        <w:pStyle w:val="Heading3"/>
      </w:pPr>
      <w:r>
        <w:t xml:space="preserve">POD2 labs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10"/>
        <w:gridCol w:w="1548"/>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566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HCT &lt;= 21 or HCT &gt;= 62 (POD2)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 (98%)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(1.9%)</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 &gt;= 50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 (98%)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(2.3%)</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CRE &gt;= 5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(100%)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(0.2%)</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SOD &lt;= 120 or SOD &gt;= 160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(100%)</w:t>
            </w:r>
          </w:p>
        </w:tc>
      </w:tr>
      <w:tr>
        <w:trPr>
          <w:trHeight w:val="616"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abnormal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29"/>
    <w:bookmarkEnd w:id="30"/>
    <w:bookmarkEnd w:id="31"/>
    <w:bookmarkStart w:id="33" w:name="non-lab-data"/>
    <w:p>
      <w:pPr>
        <w:pStyle w:val="Heading1"/>
      </w:pPr>
      <w:r>
        <w:t xml:space="preserve">Non-lab data</w:t>
      </w:r>
    </w:p>
    <w:bookmarkStart w:id="32" w:name="missingness"/>
    <w:p>
      <w:pPr>
        <w:pStyle w:val="Heading2"/>
      </w:pPr>
      <w:r>
        <w:t xml:space="preserve">Missingness</w:t>
      </w:r>
    </w:p>
    <w:p>
      <w:pPr>
        <w:pStyle w:val="FirstParagraph"/>
      </w:pPr>
      <w:r>
        <w:t xml:space="preserve">These were the variables that were dropped for having more than 50% missingness:</w:t>
      </w:r>
      <w:r>
        <w:t xml:space="preserve"> </w:t>
      </w:r>
      <w:r>
        <w:rPr>
          <w:bCs/>
          <w:b/>
        </w:rPr>
        <w:t xml:space="preserve">none</w:t>
      </w:r>
      <w:r>
        <w:t xml:space="preserve">.</w:t>
      </w:r>
    </w:p>
    <w:p>
      <w:pPr>
        <w:pStyle w:val="BodyText"/>
      </w:pPr>
      <w:r>
        <w:t xml:space="preserve">Imputation was done on the remaining lab values using predictive mean matching.</w:t>
      </w:r>
    </w:p>
    <w:p>
      <w:r>
        <w:br w:type="page"/>
      </w:r>
    </w:p>
    <w:bookmarkEnd w:id="32"/>
    <w:bookmarkEnd w:id="33"/>
    <w:bookmarkStart w:id="34" w:name="the-variables"/>
    <w:p>
      <w:pPr>
        <w:pStyle w:val="Heading1"/>
      </w:pPr>
      <w:r>
        <w:t xml:space="preserve">The variables</w:t>
      </w:r>
    </w:p>
    <w:p>
      <w:pPr>
        <w:pStyle w:val="FirstParagraph"/>
      </w:pPr>
      <w:r>
        <w:t xml:space="preserve">There are 151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vdrisk93_1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lab.pot.1.abnormal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POT &lt;= 2.9 or POT &gt;= 6.0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lab.chl.1.abnormal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CHL &lt;= 85 or CHL &gt;= 115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lab.bic.1.abnormal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BIC &lt;= 10 or BIC &gt;= 40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lab.glu.1.abnormal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GLU &lt;= 40 or GLU &gt;= 400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lab.o2.1.abnormal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O2 &lt;= 87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BUN/CRE &gt;= 18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Anion Gap &gt;= 16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lab.pot.2.abnormal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POT &lt;= 2.9 or POT &gt;= 6.0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lab.bic.2.abnormal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BIC &lt;= 10 or BIC &gt;= 40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lab.o2.2.abnormal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O2 &lt;= 87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Carotid stenosis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comorbid.diab_sev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severe with end organ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comorbid.stroke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p>
      <w:r>
        <w:br w:type="page"/>
      </w:r>
    </w:p>
    <w:bookmarkEnd w:id="34"/>
    <w:bookmarkStart w:id="35"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pPr>
        <w:pStyle w:val="BodyText"/>
      </w:pPr>
      <w:r>
        <w:t xml:space="preserve">The data was split into training (80%) and testing (20%) sets.</w:t>
      </w:r>
    </w:p>
    <w:p>
      <w:r>
        <w:br w:type="page"/>
      </w:r>
    </w:p>
    <w:p>
      <w:pPr>
        <w:pStyle w:val="BodyText"/>
      </w:pPr>
      <w:r>
        <w:t xml:space="preserve">Of the 151 variables we start with, we dropped 55 of them for not having a lot of variability.</w:t>
      </w:r>
    </w:p>
    <w:p>
      <w:pPr>
        <w:pStyle w:val="BodyText"/>
      </w:pPr>
      <w:r>
        <w:t xml:space="preserve">These are the variables that were dropped: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69"/>
        <w:gridCol w:w="1548"/>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560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IADL cognitive (any)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No_impairment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 (95%)</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Impairment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(4.8%)</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vdrisk93_1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No_impairment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 (99%)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Impairment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(0.5%)</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573"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Medicaid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Medicaid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 (99%)</w:t>
            </w:r>
          </w:p>
        </w:tc>
      </w:tr>
      <w:tr>
        <w:trPr>
          <w:trHeight w:val="616"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Medicaid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r>
      <w:tr>
        <w:trPr>
          <w:trHeight w:val="621"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Evidence of Cognitive Impairment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Cognitive Impairment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558 (100%)</w:t>
            </w:r>
          </w:p>
        </w:tc>
      </w:tr>
      <w:tr>
        <w:trPr>
          <w:trHeight w:val="62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Impairment (Chart)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19"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WBC &lt;= 2 or WBC &gt;= 15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WBC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 (99%)</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WBC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9"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HCT &lt;= 21 or HCT &gt;= 62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 &gt;= 50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 (99%)</w:t>
            </w:r>
          </w:p>
        </w:tc>
      </w:tr>
      <w:tr>
        <w:trPr>
          <w:trHeight w:val="61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(1.3%)</w:t>
            </w:r>
          </w:p>
        </w:tc>
      </w:tr>
      <w:tr>
        <w:trPr>
          <w:trHeight w:val="619"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CRE &gt;= 5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SOD &lt;= 120 or SOD &gt;= 160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POT &lt;= 2.9 or POT &gt;= 6.0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 (99%)</w:t>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(0.5%)</w:t>
            </w:r>
          </w:p>
        </w:tc>
      </w:tr>
      <w:tr>
        <w:trPr>
          <w:trHeight w:val="619"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CHL &lt;= 85 or CHL &gt;= 115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CHL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CHL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BIC &lt;= 10 or BIC &gt;= 40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9"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GLU &lt;= 40 or GLU &gt;= 400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GLU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558 (100%)</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GLU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19"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O2 &lt;= 87 (Pre-op)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HCT &lt;= 21 or HCT &gt;= 62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 (99%)</w:t>
            </w:r>
          </w:p>
        </w:tc>
      </w:tr>
      <w:tr>
        <w:trPr>
          <w:trHeight w:val="61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(0.7%)</w:t>
            </w:r>
          </w:p>
        </w:tc>
      </w:tr>
      <w:tr>
        <w:trPr>
          <w:trHeight w:val="618"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 &gt;= 50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 (99%)</w:t>
            </w:r>
          </w:p>
        </w:tc>
      </w:tr>
      <w:tr>
        <w:trPr>
          <w:trHeight w:val="616"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(0.7%)</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CRE &gt;= 5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SOD &lt;= 120 or SOD &gt;= 160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POT &lt;= 2.9 or POT &gt;= 6.0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 (99%)</w:t>
            </w:r>
          </w:p>
        </w:tc>
      </w:tr>
      <w:tr>
        <w:trPr>
          <w:trHeight w:val="616"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r>
      <w:tr>
        <w:trPr>
          <w:trHeight w:val="618"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BIC &lt;= 10 or BIC &gt;= 40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(100%)</w:t>
            </w:r>
          </w:p>
        </w:tc>
      </w:tr>
      <w:tr>
        <w:trPr>
          <w:trHeight w:val="61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BIC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O2 &lt;= 87 (POD1)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(98%)</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O2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r>
      <w:tr>
        <w:trPr>
          <w:trHeight w:val="618"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HCT &lt;= 21 or HCT &gt;= 62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549 (98%)</w:t>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HCT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(2.0%)</w:t>
            </w:r>
          </w:p>
        </w:tc>
      </w:tr>
      <w:tr>
        <w:trPr>
          <w:trHeight w:val="618"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BUN &gt;= 50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 (98%)</w:t>
            </w:r>
          </w:p>
        </w:tc>
      </w:tr>
      <w:tr>
        <w:trPr>
          <w:trHeight w:val="616"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BUN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(2.3%)</w:t>
            </w:r>
          </w:p>
        </w:tc>
      </w:tr>
      <w:tr>
        <w:trPr>
          <w:trHeight w:val="618"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CRE &gt;= 5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 (100%)</w:t>
            </w:r>
          </w:p>
        </w:tc>
      </w:tr>
      <w:tr>
        <w:trPr>
          <w:trHeight w:val="616"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(0.2%)</w:t>
            </w:r>
          </w:p>
        </w:tc>
      </w:tr>
      <w:tr>
        <w:trPr>
          <w:trHeight w:val="61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Abnormal labs: SOD &lt;= 120 or SOD &gt;= 160 (POD2)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558 (100%)</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SOD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57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Carotid stenosis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 (95%)</w:t>
            </w:r>
          </w:p>
        </w:tc>
      </w:tr>
      <w:tr>
        <w:trPr>
          <w:trHeight w:val="616"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Carotid stenosis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(4.8%)</w:t>
            </w:r>
          </w:p>
        </w:tc>
      </w:tr>
      <w:tr>
        <w:trPr>
          <w:trHeight w:val="618"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 - severe with end organ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 (96%)</w:t>
            </w:r>
          </w:p>
        </w:tc>
      </w:tr>
      <w:tr>
        <w:trPr>
          <w:trHeight w:val="621"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 - Severe with end organ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(4.5%)</w:t>
            </w:r>
          </w:p>
        </w:tc>
      </w:tr>
      <w:tr>
        <w:trPr>
          <w:trHeight w:val="621"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Congestive 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CHF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(96%)</w:t>
            </w:r>
          </w:p>
        </w:tc>
      </w:tr>
      <w:tr>
        <w:trPr>
          <w:trHeight w:val="62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Congestive 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(3.6%)</w:t>
            </w:r>
          </w:p>
        </w:tc>
      </w:tr>
      <w:tr>
        <w:trPr>
          <w:trHeight w:val="57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stroke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 (98%)</w:t>
            </w:r>
          </w:p>
        </w:tc>
      </w:tr>
      <w:tr>
        <w:trPr>
          <w:trHeight w:val="616"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(2.5%)</w:t>
            </w:r>
          </w:p>
        </w:tc>
      </w:tr>
      <w:tr>
        <w:trPr>
          <w:trHeight w:val="573"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Anesthesia-local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543 (97%)</w:t>
            </w:r>
          </w:p>
        </w:tc>
      </w:tr>
      <w:tr>
        <w:trPr>
          <w:trHeight w:val="61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(3.0%)</w:t>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propofol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 (96%)</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(4.5%)</w:t>
            </w:r>
          </w:p>
        </w:tc>
      </w:tr>
      <w:tr>
        <w:trPr>
          <w:trHeight w:val="573"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midazolam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 (96%)</w:t>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(3.8%)</w:t>
            </w:r>
          </w:p>
        </w:tc>
      </w:tr>
      <w:tr>
        <w:trPr>
          <w:trHeight w:val="575"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remifentanil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 (99%)</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(0.5%)</w:t>
            </w:r>
          </w:p>
        </w:tc>
      </w:tr>
      <w:tr>
        <w:trPr>
          <w:trHeight w:val="61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hydromorphone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 (96%)</w:t>
            </w:r>
          </w:p>
        </w:tc>
      </w:tr>
      <w:tr>
        <w:trPr>
          <w:trHeight w:val="616"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(3.8%)</w:t>
            </w:r>
          </w:p>
        </w:tc>
      </w:tr>
      <w:tr>
        <w:trPr>
          <w:trHeight w:val="573"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nitrous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558 (100%)</w:t>
            </w:r>
          </w:p>
        </w:tc>
      </w:tr>
      <w:tr>
        <w:trPr>
          <w:trHeight w:val="61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575"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desflurane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 (99%)</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(1.3%)</w:t>
            </w:r>
          </w:p>
        </w:tc>
      </w:tr>
      <w:tr>
        <w:trPr>
          <w:trHeight w:val="616"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succinycholine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 (99%)</w:t>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(1.1%)</w:t>
            </w:r>
          </w:p>
        </w:tc>
      </w:tr>
      <w:tr>
        <w:trPr>
          <w:trHeight w:val="573"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vecuronium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 (99%)</w:t>
            </w:r>
          </w:p>
        </w:tc>
      </w:tr>
      <w:tr>
        <w:trPr>
          <w:trHeight w:val="616"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(0.7%)</w:t>
            </w:r>
          </w:p>
        </w:tc>
      </w:tr>
      <w:tr>
        <w:trPr>
          <w:trHeight w:val="615"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bupivacaine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(97%)</w:t>
            </w:r>
          </w:p>
        </w:tc>
      </w:tr>
      <w:tr>
        <w:trPr>
          <w:trHeight w:val="616"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(2.7%)</w:t>
            </w:r>
          </w:p>
        </w:tc>
      </w:tr>
      <w:tr>
        <w:trPr>
          <w:trHeight w:val="575"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cefazolin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(97%)</w:t>
            </w:r>
          </w:p>
        </w:tc>
      </w:tr>
      <w:tr>
        <w:trPr>
          <w:trHeight w:val="61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(3.2%)</w:t>
            </w:r>
          </w:p>
        </w:tc>
      </w:tr>
      <w:tr>
        <w:trPr>
          <w:trHeight w:val="615"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ephedrine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 (97%)</w:t>
            </w:r>
          </w:p>
        </w:tc>
      </w:tr>
      <w:tr>
        <w:trPr>
          <w:trHeight w:val="61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(3.4%)</w:t>
            </w:r>
          </w:p>
        </w:tc>
      </w:tr>
      <w:tr>
        <w:trPr>
          <w:trHeight w:val="618"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glycopyrrolate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 (96%)</w:t>
            </w:r>
          </w:p>
        </w:tc>
      </w:tr>
      <w:tr>
        <w:trPr>
          <w:trHeight w:val="61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(4.1%)</w:t>
            </w:r>
          </w:p>
        </w:tc>
      </w:tr>
      <w:tr>
        <w:trPr>
          <w:trHeight w:val="573"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lidocaine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551 (98%)</w:t>
            </w:r>
          </w:p>
        </w:tc>
      </w:tr>
      <w:tr>
        <w:trPr>
          <w:trHeight w:val="616"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(1.6%)</w:t>
            </w:r>
          </w:p>
        </w:tc>
      </w:tr>
      <w:tr>
        <w:trPr>
          <w:trHeight w:val="615"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mepivacaine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 (100%)</w:t>
            </w:r>
          </w:p>
        </w:tc>
      </w:tr>
      <w:tr>
        <w:trPr>
          <w:trHeight w:val="61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(0.2%)</w:t>
            </w:r>
          </w:p>
        </w:tc>
      </w:tr>
      <w:tr>
        <w:trPr>
          <w:trHeight w:val="618"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neostigmine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 (96%)</w:t>
            </w:r>
          </w:p>
        </w:tc>
      </w:tr>
      <w:tr>
        <w:trPr>
          <w:trHeight w:val="61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(3.8%)</w:t>
            </w:r>
          </w:p>
        </w:tc>
      </w:tr>
      <w:tr>
        <w:trPr>
          <w:trHeight w:val="573"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ondansetron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534 (95%)</w:t>
            </w:r>
          </w:p>
        </w:tc>
      </w:tr>
      <w:tr>
        <w:trPr>
          <w:trHeight w:val="61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(4.6%)</w:t>
            </w:r>
          </w:p>
        </w:tc>
      </w:tr>
      <w:tr>
        <w:trPr>
          <w:trHeight w:val="616"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phenylephrine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 (96%)</w:t>
            </w:r>
          </w:p>
        </w:tc>
      </w:tr>
      <w:tr>
        <w:trPr>
          <w:trHeight w:val="61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(4.3%)</w:t>
            </w:r>
          </w:p>
        </w:tc>
      </w:tr>
      <w:tr>
        <w:trPr>
          <w:trHeight w:val="573"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rocuronium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(97%)</w:t>
            </w:r>
          </w:p>
        </w:tc>
      </w:tr>
      <w:tr>
        <w:trPr>
          <w:trHeight w:val="616"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(2.7%)</w:t>
            </w:r>
          </w:p>
        </w:tc>
      </w:tr>
      <w:tr>
        <w:trPr>
          <w:trHeight w:val="61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vancomycin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 (99%)</w:t>
            </w:r>
          </w:p>
        </w:tc>
      </w:tr>
      <w:tr>
        <w:trPr>
          <w:trHeight w:val="616"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8"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Intraop complication - bradycardia requiring new permanent pacemaker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 (100%)</w:t>
            </w:r>
          </w:p>
        </w:tc>
      </w:tr>
      <w:tr>
        <w:trPr>
          <w:trHeight w:val="61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(0.2%)</w:t>
            </w:r>
          </w:p>
        </w:tc>
      </w:tr>
      <w:tr>
        <w:trPr>
          <w:trHeight w:val="618"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Intraop complication - uncontrolled bleeding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558 (100%)</w:t>
            </w:r>
          </w:p>
        </w:tc>
      </w:tr>
      <w:tr>
        <w:trPr>
          <w:trHeight w:val="616"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18"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Intraop complication - prolonged severe hypotension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 (99%)</w:t>
            </w:r>
          </w:p>
        </w:tc>
      </w:tr>
      <w:tr>
        <w:trPr>
          <w:trHeight w:val="61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5"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Intraop complication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(98%)</w:t>
            </w:r>
          </w:p>
        </w:tc>
      </w:tr>
      <w:tr>
        <w:trPr>
          <w:trHeight w:val="616"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r>
      <w:tr>
        <w:trPr>
          <w:trHeight w:val="62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Post-operative hypertension (SBP&gt;140 or DBP&gt;90)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 (99%)</w:t>
            </w:r>
          </w:p>
        </w:tc>
      </w:tr>
      <w:tr>
        <w:trPr>
          <w:trHeight w:val="616" w:hRule="auto"/>
        </w:trPr>
        body165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(1.1%)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r>
        <w:br w:type="page"/>
      </w:r>
    </w:p>
    <w:p>
      <w:pPr>
        <w:pStyle w:val="BodyText"/>
      </w:pPr>
      <w:r>
        <w:t xml:space="preserve">Of the 96 variables retained, 14 were dropped due to redundancy.</w:t>
      </w:r>
    </w:p>
    <w:p>
      <w:pPr>
        <w:pStyle w:val="BodyText"/>
      </w:pPr>
      <w:r>
        <w:t xml:space="preserve">These are the variables that were dropped: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07"/>
        <w:gridCol w:w="2025"/>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560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SF12 physical composite T-score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(28, 44)</w:t>
            </w:r>
          </w:p>
        </w:tc>
      </w:tr>
      <w:tr>
        <w:trPr>
          <w:trHeight w:val="61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SF12 mental composite T-score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(45, 56)</w:t>
            </w:r>
          </w:p>
        </w:tc>
      </w:tr>
      <w:tr>
        <w:trPr>
          <w:trHeight w:val="57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vdsf12vt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27.6238346099854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(5.9%)</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37.6867065429688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(15%)</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47.7495803833008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 (29%)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57.8124542236328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(19%)</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67.8753280639648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(24%)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77.9382019042969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(6.3%)</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cci_0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 (46%)</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cci_1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 (25%)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cci_2_7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(29%)</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General Anesthesia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 (86%)</w:t>
            </w:r>
          </w:p>
        </w:tc>
      </w:tr>
      <w:tr>
        <w:trPr>
          <w:trHeight w:val="6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Any Spinal Anesthesia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(14%)</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 (86%)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Anesthesia time (ln(hours))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(0.86, 1.33)</w:t>
            </w:r>
          </w:p>
        </w:tc>
      </w:tr>
      <w:tr>
        <w:trPr>
          <w:trHeight w:val="62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Anticholinergic Drug Scale (ADS)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 (30%)</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 (29%)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(19%)</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(9.8%)</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 (7.3%)</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(2.3%)</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2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medications contributing points to ADS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 (30%)</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(34%)</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(24%)</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(9.1%)</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(3.2%)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(0.2%)</w:t>
            </w:r>
          </w:p>
        </w:tc>
      </w:tr>
      <w:tr>
        <w:trPr>
          <w:trHeight w:val="62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ADS score if excluding medications scoring 1 on the ADS activity scale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 (83%)</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(7.1%)</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(7.5%)</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(1.1%)</w:t>
            </w:r>
          </w:p>
        </w:tc>
      </w:tr>
      <w:tr>
        <w:trPr>
          <w:trHeight w:val="62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Anticholinergic Cognitive Burden (ACB) scale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(0.00, 2.00)</w:t>
            </w:r>
          </w:p>
        </w:tc>
      </w:tr>
      <w:tr>
        <w:trPr>
          <w:trHeight w:val="621"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number of medications contributing to ACB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 (26%)</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 (36%)</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(22%)</w:t>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(10%)</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(4.1%)</w:t>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(1.3%)</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(0.4%)</w:t>
            </w:r>
          </w:p>
        </w:tc>
      </w:tr>
      <w:tr>
        <w:trPr>
          <w:trHeight w:val="62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medications with ACB activity &gt;1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 (86%)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(12%)</w:t>
            </w:r>
          </w:p>
        </w:tc>
      </w:tr>
      <w:tr>
        <w:trPr>
          <w:trHeight w:val="61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r>
      <w:tr>
        <w:trPr>
          <w:trHeight w:val="61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(0.2%)</w:t>
            </w:r>
          </w:p>
        </w:tc>
      </w:tr>
      <w:tr>
        <w:trPr>
          <w:trHeight w:val="618"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ASA Class &gt;=3 (vs &lt;=2)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 (37%)</w:t>
            </w:r>
          </w:p>
        </w:tc>
      </w:tr>
      <w:tr>
        <w:trPr>
          <w:trHeight w:val="616" w:hRule="auto"/>
        </w:trPr>
        body61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(63%)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w:r>
        <w:br w:type="page"/>
      </w:r>
    </w:p>
    <w:p>
      <w:pPr>
        <w:pStyle w:val="BodyText"/>
      </w:pPr>
      <w:r>
        <w:t xml:space="preserve">There are 83 variables retained after the redundancy analysis.</w:t>
      </w:r>
    </w:p>
    <w:p>
      <w:pPr>
        <w:pStyle w:val="BodyText"/>
      </w:pPr>
      <w:r>
        <w:t xml:space="preserve">There are 151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BUN/CRE &gt;= 18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Anion Gap &gt;= 16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bookmarkEnd w:id="35"/>
    <w:sectPr w:rsidR="007161AD">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0AF6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55262D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017913" w:numId="1">
    <w:abstractNumId w:val="0"/>
  </w:num>
  <w:num w16cid:durableId="590428338"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635D"/>
    <w:pPr>
      <w:spacing w:after="100"/>
    </w:pPr>
    <w:rPr>
      <w:rFonts w:ascii="Arial" w:hAnsi="Arial"/>
      <w:sz w:val="22"/>
    </w:rPr>
  </w:style>
  <w:style w:styleId="Heading1" w:type="paragraph">
    <w:name w:val="heading 1"/>
    <w:basedOn w:val="Normal"/>
    <w:next w:val="BodyText"/>
    <w:uiPriority w:val="9"/>
    <w:qFormat/>
    <w:rsid w:val="00B9635D"/>
    <w:pPr>
      <w:keepNext/>
      <w:keepLines/>
      <w:spacing w:after="0" w:before="20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9635D"/>
    <w:pPr>
      <w:keepNext/>
      <w:keepLines/>
      <w:spacing w:after="0" w:before="20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9635D"/>
    <w:pPr>
      <w:keepNext/>
      <w:keepLines/>
      <w:spacing w:after="0" w:before="1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9635D"/>
    <w:pPr>
      <w:spacing w:after="100" w:before="100"/>
    </w:pPr>
  </w:style>
  <w:style w:customStyle="1" w:styleId="Compact" w:type="paragraph">
    <w:name w:val="Compact"/>
    <w:basedOn w:val="BodyText"/>
    <w:qFormat/>
    <w:pPr>
      <w:spacing w:after="36" w:before="36"/>
    </w:pPr>
  </w:style>
  <w:style w:styleId="Title" w:type="paragraph">
    <w:name w:val="Title"/>
    <w:basedOn w:val="Normal"/>
    <w:next w:val="BodyText"/>
    <w:qFormat/>
    <w:rsid w:val="00B9635D"/>
    <w:pPr>
      <w:keepNext/>
      <w:keepLines/>
      <w:spacing w:after="0"/>
    </w:pPr>
    <w:rPr>
      <w:rFonts w:cstheme="majorBidi" w:eastAsiaTheme="majorEastAsia"/>
      <w:b/>
      <w:bCs/>
      <w:color w:themeColor="text1" w:val="000000"/>
      <w:szCs w:val="36"/>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rsid w:val="00B9635D"/>
    <w:pPr>
      <w:keepNext/>
      <w:keepLines/>
      <w:spacing w:after="0"/>
    </w:pPr>
    <w:rPr>
      <w:rFonts w:ascii="Arial" w:hAnsi="Arial"/>
    </w:rPr>
  </w:style>
  <w:style w:styleId="Date" w:type="paragraph">
    <w:name w:val="Date"/>
    <w:next w:val="BodyText"/>
    <w:qFormat/>
    <w:rsid w:val="00B9635D"/>
    <w:pPr>
      <w:keepNext/>
      <w:keepLines/>
      <w:spacing w:after="0"/>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CommentReference" w:type="character">
    <w:name w:val="annotation reference"/>
    <w:basedOn w:val="DefaultParagraphFont"/>
    <w:rsid w:val="00B9635D"/>
    <w:rPr>
      <w:sz w:val="16"/>
      <w:szCs w:val="16"/>
    </w:rPr>
  </w:style>
  <w:style w:styleId="CommentText" w:type="paragraph">
    <w:name w:val="annotation text"/>
    <w:basedOn w:val="Normal"/>
    <w:link w:val="CommentTextChar"/>
    <w:rsid w:val="00B9635D"/>
    <w:rPr>
      <w:sz w:val="20"/>
      <w:szCs w:val="20"/>
    </w:rPr>
  </w:style>
  <w:style w:customStyle="1" w:styleId="CommentTextChar" w:type="character">
    <w:name w:val="Comment Text Char"/>
    <w:basedOn w:val="DefaultParagraphFont"/>
    <w:link w:val="CommentText"/>
    <w:rsid w:val="00B9635D"/>
    <w:rPr>
      <w:sz w:val="20"/>
      <w:szCs w:val="20"/>
    </w:rPr>
  </w:style>
  <w:style w:styleId="CommentSubject" w:type="paragraph">
    <w:name w:val="annotation subject"/>
    <w:basedOn w:val="CommentText"/>
    <w:next w:val="CommentText"/>
    <w:link w:val="CommentSubjectChar"/>
    <w:rsid w:val="00B9635D"/>
    <w:rPr>
      <w:b/>
      <w:bCs/>
    </w:rPr>
  </w:style>
  <w:style w:customStyle="1" w:styleId="CommentSubjectChar" w:type="character">
    <w:name w:val="Comment Subject Char"/>
    <w:basedOn w:val="CommentTextChar"/>
    <w:link w:val="CommentSubject"/>
    <w:rsid w:val="00B9635D"/>
    <w:rPr>
      <w:b/>
      <w:bCs/>
      <w:sz w:val="20"/>
      <w:szCs w:val="20"/>
    </w:rPr>
  </w:style>
  <w:style w:styleId="Footer" w:type="paragraph">
    <w:name w:val="footer"/>
    <w:basedOn w:val="Normal"/>
    <w:link w:val="FooterChar"/>
    <w:rsid w:val="00C23836"/>
    <w:pPr>
      <w:tabs>
        <w:tab w:pos="4680" w:val="center"/>
        <w:tab w:pos="9360" w:val="right"/>
      </w:tabs>
      <w:spacing w:after="0"/>
    </w:pPr>
  </w:style>
  <w:style w:customStyle="1" w:styleId="FooterChar" w:type="character">
    <w:name w:val="Footer Char"/>
    <w:basedOn w:val="DefaultParagraphFont"/>
    <w:link w:val="Footer"/>
    <w:rsid w:val="00C23836"/>
    <w:rPr>
      <w:rFonts w:ascii="Arial" w:hAnsi="Arial"/>
      <w:sz w:val="22"/>
    </w:rPr>
  </w:style>
  <w:style w:styleId="PageNumber" w:type="character">
    <w:name w:val="page number"/>
    <w:basedOn w:val="DefaultParagraphFont"/>
    <w:rsid w:val="00C23836"/>
    <w:rPr>
      <w:rFonts w:ascii="Arial" w:hAnsi="Arial"/>
    </w:rPr>
  </w:style>
  <w:style w:styleId="Header" w:type="paragraph">
    <w:name w:val="header"/>
    <w:basedOn w:val="Normal"/>
    <w:link w:val="HeaderChar"/>
    <w:rsid w:val="00C23836"/>
    <w:pPr>
      <w:tabs>
        <w:tab w:pos="4680" w:val="center"/>
        <w:tab w:pos="9360" w:val="right"/>
      </w:tabs>
      <w:spacing w:after="0"/>
    </w:pPr>
  </w:style>
  <w:style w:customStyle="1" w:styleId="HeaderChar" w:type="characte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2024-02-01T19:25:06Z</dcterms:created>
  <dcterms:modified xsi:type="dcterms:W3CDTF">2024-02-01T19:25:06Z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