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7.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2024-04-02</w:t>
      </w:r>
    </w:p>
    <w:bookmarkStart w:id="23"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the two best prediction models for delirium and cognitive decline as possible given the data we collected. This is intended for a research audience because many of the variables going into this model would be difficult for clinicians to obtain.</w:t>
      </w:r>
    </w:p>
    <w:bookmarkEnd w:id="20"/>
    <w:bookmarkStart w:id="21" w:name="todays-2024-04-05-goal"/>
    <w:p>
      <w:pPr>
        <w:pStyle w:val="Heading2"/>
      </w:pPr>
      <w:r>
        <w:t xml:space="preserve">Today’s (2024-04-05) goal</w:t>
      </w:r>
    </w:p>
    <w:p>
      <w:pPr>
        <w:pStyle w:val="FirstParagraph"/>
      </w:pPr>
      <w:r>
        <w:t xml:space="preserve">Review the variables the expert panel voted to keep and the resulting principal compenent analysis.</w:t>
      </w:r>
    </w:p>
    <w:bookmarkEnd w:id="21"/>
    <w:bookmarkStart w:id="22" w:name="todays-2024-02-02-goal"/>
    <w:p>
      <w:pPr>
        <w:pStyle w:val="Heading2"/>
      </w:pPr>
      <w:r>
        <w:t xml:space="preserve">Today’s (2024-02-02) goal</w:t>
      </w:r>
    </w:p>
    <w:p>
      <w:pPr>
        <w:pStyle w:val="FirstParagraph"/>
      </w:pPr>
      <w:r>
        <w:t xml:space="preserve">Review the variables that made it through our selection process for inclusion into the model.</w:t>
      </w:r>
    </w:p>
    <w:bookmarkEnd w:id="22"/>
    <w:bookmarkEnd w:id="23"/>
    <w:bookmarkStart w:id="24"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p>
      <w:r>
        <w:br w:type="page"/>
      </w:r>
    </w:p>
    <w:bookmarkEnd w:id="24"/>
    <w:bookmarkStart w:id="25"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5"/>
    <w:bookmarkStart w:id="32" w:name="summary-of-lab-values"/>
    <w:p>
      <w:pPr>
        <w:pStyle w:val="Heading1"/>
      </w:pPr>
      <w:r>
        <w:t xml:space="preserve">Summary of lab values</w:t>
      </w:r>
    </w:p>
    <w:bookmarkStart w:id="26"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ALT (IU/L) (Pre-op)</w:t>
            </w:r>
          </w:p>
        </w:tc>
        <w:tc>
          <w:tcPr/>
          <w:p>
            <w:pPr>
              <w:pStyle w:val="Compact"/>
              <w:jc w:val="center"/>
            </w:pPr>
            <w:r>
              <w:t xml:space="preserve">20 (9)</w:t>
            </w:r>
          </w:p>
        </w:tc>
      </w:tr>
      <w:tr>
        <w:tc>
          <w:tcPr/>
          <w:p>
            <w:pPr>
              <w:pStyle w:val="Compact"/>
              <w:jc w:val="left"/>
            </w:pPr>
            <w:r>
              <w:t xml:space="preserve">Unknown</w:t>
            </w:r>
          </w:p>
        </w:tc>
        <w:tc>
          <w:tcPr/>
          <w:p>
            <w:pPr>
              <w:pStyle w:val="Compact"/>
              <w:jc w:val="center"/>
            </w:pPr>
            <w:r>
              <w:t xml:space="preserve">375</w:t>
            </w:r>
          </w:p>
        </w:tc>
      </w:tr>
      <w:tr>
        <w:tc>
          <w:tcPr/>
          <w:p>
            <w:pPr>
              <w:pStyle w:val="Compact"/>
              <w:jc w:val="left"/>
            </w:pPr>
            <w:r>
              <w:t xml:space="preserve">AST (IU/L) (Pre-op)</w:t>
            </w:r>
          </w:p>
        </w:tc>
        <w:tc>
          <w:tcPr/>
          <w:p>
            <w:pPr>
              <w:pStyle w:val="Compact"/>
              <w:jc w:val="center"/>
            </w:pPr>
            <w:r>
              <w:t xml:space="preserve">22.6 (7.8)</w:t>
            </w:r>
          </w:p>
        </w:tc>
      </w:tr>
      <w:tr>
        <w:tc>
          <w:tcPr/>
          <w:p>
            <w:pPr>
              <w:pStyle w:val="Compact"/>
              <w:jc w:val="left"/>
            </w:pPr>
            <w:r>
              <w:t xml:space="preserve">Unknown</w:t>
            </w:r>
          </w:p>
        </w:tc>
        <w:tc>
          <w:tcPr/>
          <w:p>
            <w:pPr>
              <w:pStyle w:val="Compact"/>
              <w:jc w:val="center"/>
            </w:pPr>
            <w:r>
              <w:t xml:space="preserve">377</w:t>
            </w:r>
          </w:p>
        </w:tc>
      </w:tr>
      <w:tr>
        <w:tc>
          <w:tcPr/>
          <w:p>
            <w:pPr>
              <w:pStyle w:val="Compact"/>
              <w:jc w:val="left"/>
            </w:pPr>
            <w:r>
              <w:t xml:space="preserve">Bilirubin (mg/dL) (Pre-op)</w:t>
            </w:r>
          </w:p>
        </w:tc>
        <w:tc>
          <w:tcPr/>
          <w:p>
            <w:pPr>
              <w:pStyle w:val="Compact"/>
              <w:jc w:val="center"/>
            </w:pPr>
            <w:r>
              <w:t xml:space="preserve">0.45 (0.23)</w:t>
            </w:r>
          </w:p>
        </w:tc>
      </w:tr>
      <w:tr>
        <w:tc>
          <w:tcPr/>
          <w:p>
            <w:pPr>
              <w:pStyle w:val="Compact"/>
              <w:jc w:val="left"/>
            </w:pPr>
            <w:r>
              <w:t xml:space="preserve">Unknown</w:t>
            </w:r>
          </w:p>
        </w:tc>
        <w:tc>
          <w:tcPr/>
          <w:p>
            <w:pPr>
              <w:pStyle w:val="Compact"/>
              <w:jc w:val="center"/>
            </w:pPr>
            <w:r>
              <w:t xml:space="preserve">403</w:t>
            </w:r>
          </w:p>
        </w:tc>
      </w:tr>
      <w:tr>
        <w:tc>
          <w:tcPr/>
          <w:p>
            <w:pPr>
              <w:pStyle w:val="Compact"/>
              <w:jc w:val="left"/>
            </w:pPr>
            <w:r>
              <w:t xml:space="preserve">Albumin (g/dL) (Pre-op)</w:t>
            </w:r>
          </w:p>
        </w:tc>
        <w:tc>
          <w:tcPr/>
          <w:p>
            <w:pPr>
              <w:pStyle w:val="Compact"/>
              <w:jc w:val="center"/>
            </w:pPr>
            <w:r>
              <w:t xml:space="preserve">4.24 (0.38)</w:t>
            </w:r>
          </w:p>
        </w:tc>
      </w:tr>
      <w:tr>
        <w:tc>
          <w:tcPr/>
          <w:p>
            <w:pPr>
              <w:pStyle w:val="Compact"/>
              <w:jc w:val="left"/>
            </w:pPr>
            <w:r>
              <w:t xml:space="preserve">Unknown</w:t>
            </w:r>
          </w:p>
        </w:tc>
        <w:tc>
          <w:tcPr/>
          <w:p>
            <w:pPr>
              <w:pStyle w:val="Compact"/>
              <w:jc w:val="center"/>
            </w:pPr>
            <w:r>
              <w:t xml:space="preserve">404</w:t>
            </w:r>
          </w:p>
        </w:tc>
      </w:tr>
      <w:tr>
        <w:tc>
          <w:tcPr/>
          <w:p>
            <w:pPr>
              <w:pStyle w:val="Compact"/>
              <w:jc w:val="left"/>
            </w:pPr>
            <w:r>
              <w:t xml:space="preserve">ABG: pH (POD1)</w:t>
            </w:r>
          </w:p>
        </w:tc>
        <w:tc>
          <w:tcPr/>
          <w:p>
            <w:pPr>
              <w:pStyle w:val="Compact"/>
              <w:jc w:val="center"/>
            </w:pPr>
            <w:r>
              <w:t xml:space="preserve">7.37 (0.09)</w:t>
            </w:r>
          </w:p>
        </w:tc>
      </w:tr>
      <w:tr>
        <w:tc>
          <w:tcPr/>
          <w:p>
            <w:pPr>
              <w:pStyle w:val="Compact"/>
              <w:jc w:val="left"/>
            </w:pPr>
            <w:r>
              <w:t xml:space="preserve">Unknown</w:t>
            </w:r>
          </w:p>
        </w:tc>
        <w:tc>
          <w:tcPr/>
          <w:p>
            <w:pPr>
              <w:pStyle w:val="Compact"/>
              <w:jc w:val="center"/>
            </w:pPr>
            <w:r>
              <w:t xml:space="preserve">534</w:t>
            </w:r>
          </w:p>
        </w:tc>
      </w:tr>
      <w:tr>
        <w:tc>
          <w:tcPr/>
          <w:p>
            <w:pPr>
              <w:pStyle w:val="Compact"/>
              <w:jc w:val="left"/>
            </w:pPr>
            <w:r>
              <w:t xml:space="preserve">p02 (mmHg) (POD1)</w:t>
            </w:r>
          </w:p>
        </w:tc>
        <w:tc>
          <w:tcPr/>
          <w:p>
            <w:pPr>
              <w:pStyle w:val="Compact"/>
              <w:jc w:val="center"/>
            </w:pPr>
            <w:r>
              <w:t xml:space="preserve">165 (82)</w:t>
            </w:r>
          </w:p>
        </w:tc>
      </w:tr>
      <w:tr>
        <w:tc>
          <w:tcPr/>
          <w:p>
            <w:pPr>
              <w:pStyle w:val="Compact"/>
              <w:jc w:val="left"/>
            </w:pPr>
            <w:r>
              <w:t xml:space="preserve">Unknown</w:t>
            </w:r>
          </w:p>
        </w:tc>
        <w:tc>
          <w:tcPr/>
          <w:p>
            <w:pPr>
              <w:pStyle w:val="Compact"/>
              <w:jc w:val="center"/>
            </w:pPr>
            <w:r>
              <w:t xml:space="preserve">533</w:t>
            </w:r>
          </w:p>
        </w:tc>
      </w:tr>
      <w:tr>
        <w:tc>
          <w:tcPr/>
          <w:p>
            <w:pPr>
              <w:pStyle w:val="Compact"/>
              <w:jc w:val="left"/>
            </w:pPr>
            <w:r>
              <w:t xml:space="preserve">pCO2 (mmHg) (POD1)</w:t>
            </w:r>
          </w:p>
        </w:tc>
        <w:tc>
          <w:tcPr/>
          <w:p>
            <w:pPr>
              <w:pStyle w:val="Compact"/>
              <w:jc w:val="center"/>
            </w:pPr>
            <w:r>
              <w:t xml:space="preserve">41 (7)</w:t>
            </w:r>
          </w:p>
        </w:tc>
      </w:tr>
      <w:tr>
        <w:tc>
          <w:tcPr/>
          <w:p>
            <w:pPr>
              <w:pStyle w:val="Compact"/>
              <w:jc w:val="left"/>
            </w:pPr>
            <w:r>
              <w:t xml:space="preserve">Unknown</w:t>
            </w:r>
          </w:p>
        </w:tc>
        <w:tc>
          <w:tcPr/>
          <w:p>
            <w:pPr>
              <w:pStyle w:val="Compact"/>
              <w:jc w:val="center"/>
            </w:pPr>
            <w:r>
              <w:t xml:space="preserve">534</w:t>
            </w:r>
          </w:p>
        </w:tc>
      </w:tr>
    </w:tbl>
    <w:p>
      <w:pPr>
        <w:pStyle w:val="BodyText"/>
      </w:pPr>
      <w:r>
        <w:t xml:space="preserve">Imputation was done on the remaining lab values using predictive mean matching.</w:t>
      </w:r>
    </w:p>
    <w:p>
      <w:r>
        <w:br w:type="page"/>
      </w:r>
    </w:p>
    <w:bookmarkEnd w:id="26"/>
    <w:bookmarkStart w:id="27"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7"/>
    <w:bookmarkStart w:id="31" w:name="pre-op-labs"/>
    <w:p>
      <w:pPr>
        <w:pStyle w:val="Heading2"/>
      </w:pPr>
      <w:r>
        <w:t xml:space="preserve">Pre-op labs</w:t>
      </w:r>
    </w:p>
    <w:bookmarkStart w:id="28"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554 (99%)</w:t>
            </w:r>
          </w:p>
        </w:tc>
      </w:tr>
      <w:tr>
        <w:tc>
          <w:tcPr/>
          <w:p>
            <w:pPr>
              <w:pStyle w:val="Compact"/>
              <w:jc w:val="left"/>
            </w:pPr>
            <w:r>
              <w:t xml:space="preserve">BUN abnormal</w:t>
            </w:r>
          </w:p>
        </w:tc>
        <w:tc>
          <w:tcPr/>
          <w:p>
            <w:pPr>
              <w:pStyle w:val="Compact"/>
              <w:jc w:val="center"/>
            </w:pPr>
            <w:r>
              <w:t xml:space="preserve">6 (1.1%)</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559 (100%)</w:t>
            </w:r>
          </w:p>
        </w:tc>
      </w:tr>
      <w:tr>
        <w:tc>
          <w:tcPr/>
          <w:p>
            <w:pPr>
              <w:pStyle w:val="Compact"/>
              <w:jc w:val="left"/>
            </w:pPr>
            <w:r>
              <w:t xml:space="preserve">GLU abnormal</w:t>
            </w:r>
          </w:p>
        </w:tc>
        <w:tc>
          <w:tcPr/>
          <w:p>
            <w:pPr>
              <w:pStyle w:val="Compact"/>
              <w:jc w:val="center"/>
            </w:pPr>
            <w:r>
              <w:t xml:space="preserve">1 (0.2%)</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425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458 (82%)</w:t>
            </w:r>
          </w:p>
        </w:tc>
      </w:tr>
      <w:tr>
        <w:tc>
          <w:tcPr/>
          <w:p>
            <w:pPr>
              <w:pStyle w:val="Compact"/>
              <w:jc w:val="left"/>
            </w:pPr>
            <w:r>
              <w:t xml:space="preserve">Anion Gap abnormal</w:t>
            </w:r>
          </w:p>
        </w:tc>
        <w:tc>
          <w:tcPr/>
          <w:p>
            <w:pPr>
              <w:pStyle w:val="Compact"/>
              <w:jc w:val="center"/>
            </w:pPr>
            <w:r>
              <w:t xml:space="preserve">102 (18%)</w:t>
            </w:r>
          </w:p>
        </w:tc>
      </w:tr>
    </w:tbl>
    <w:p>
      <w:r>
        <w:br w:type="page"/>
      </w:r>
    </w:p>
    <w:bookmarkEnd w:id="28"/>
    <w:bookmarkStart w:id="29"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512 (91%)</w:t>
            </w:r>
          </w:p>
        </w:tc>
      </w:tr>
      <w:tr>
        <w:tc>
          <w:tcPr/>
          <w:p>
            <w:pPr>
              <w:pStyle w:val="Compact"/>
              <w:jc w:val="left"/>
            </w:pPr>
            <w:r>
              <w:t xml:space="preserve">WBC abnormal</w:t>
            </w:r>
          </w:p>
        </w:tc>
        <w:tc>
          <w:tcPr/>
          <w:p>
            <w:pPr>
              <w:pStyle w:val="Compact"/>
              <w:jc w:val="center"/>
            </w:pPr>
            <w:r>
              <w:t xml:space="preserve">48 (8.6%)</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bl>
    <w:p>
      <w:r>
        <w:br w:type="page"/>
      </w:r>
    </w:p>
    <w:bookmarkEnd w:id="29"/>
    <w:bookmarkStart w:id="30"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550 (98%)</w:t>
            </w:r>
          </w:p>
        </w:tc>
      </w:tr>
      <w:tr>
        <w:tc>
          <w:tcPr/>
          <w:p>
            <w:pPr>
              <w:pStyle w:val="Compact"/>
              <w:jc w:val="left"/>
            </w:pPr>
            <w:r>
              <w:t xml:space="preserve">HCT abnormal</w:t>
            </w:r>
          </w:p>
        </w:tc>
        <w:tc>
          <w:tcPr/>
          <w:p>
            <w:pPr>
              <w:pStyle w:val="Compact"/>
              <w:jc w:val="center"/>
            </w:pPr>
            <w:r>
              <w:t xml:space="preserve">10 (1.8%)</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557 (99%)</w:t>
            </w:r>
          </w:p>
        </w:tc>
      </w:tr>
      <w:tr>
        <w:tc>
          <w:tcPr/>
          <w:p>
            <w:pPr>
              <w:pStyle w:val="Compact"/>
              <w:jc w:val="left"/>
            </w:pPr>
            <w:r>
              <w:t xml:space="preserve">SOD abnormal</w:t>
            </w:r>
          </w:p>
        </w:tc>
        <w:tc>
          <w:tcPr/>
          <w:p>
            <w:pPr>
              <w:pStyle w:val="Compact"/>
              <w:jc w:val="center"/>
            </w:pPr>
            <w:r>
              <w:t xml:space="preserve">3 (0.5%)</w:t>
            </w:r>
          </w:p>
        </w:tc>
      </w:tr>
    </w:tbl>
    <w:p>
      <w:r>
        <w:br w:type="page"/>
      </w:r>
    </w:p>
    <w:bookmarkEnd w:id="30"/>
    <w:bookmarkEnd w:id="31"/>
    <w:bookmarkEnd w:id="32"/>
    <w:bookmarkStart w:id="34" w:name="non-lab-data"/>
    <w:p>
      <w:pPr>
        <w:pStyle w:val="Heading1"/>
      </w:pPr>
      <w:r>
        <w:t xml:space="preserve">Non-lab data</w:t>
      </w:r>
    </w:p>
    <w:bookmarkStart w:id="33" w:name="missingness"/>
    <w:p>
      <w:pPr>
        <w:pStyle w:val="Heading2"/>
      </w:pPr>
      <w:r>
        <w:t xml:space="preserve">Missingness</w:t>
      </w:r>
    </w:p>
    <w:p>
      <w:pPr>
        <w:pStyle w:val="FirstParagraph"/>
      </w:pPr>
      <w:r>
        <w:t xml:space="preserve">These were the variables that were dropped for having more than 50% missingness:</w:t>
      </w:r>
      <w:r>
        <w:t xml:space="preserve"> </w:t>
      </w:r>
      <w:r>
        <w:rPr>
          <w:bCs/>
          <w:b/>
        </w:rPr>
        <w:t xml:space="preserve">none</w:t>
      </w:r>
      <w:r>
        <w:t xml:space="preserve">.</w:t>
      </w:r>
    </w:p>
    <w:p>
      <w:pPr>
        <w:pStyle w:val="BodyText"/>
      </w:pPr>
      <w:r>
        <w:t xml:space="preserve">Imputation was done on the remaining lab values using predictive mean matching.</w:t>
      </w:r>
    </w:p>
    <w:bookmarkEnd w:id="33"/>
    <w:bookmarkEnd w:id="34"/>
    <w:bookmarkStart w:id="35" w:name="the-variables"/>
    <w:p>
      <w:pPr>
        <w:pStyle w:val="Heading1"/>
      </w:pPr>
      <w:r>
        <w:t xml:space="preserve">The variables</w:t>
      </w:r>
    </w:p>
    <w:p>
      <w:pPr>
        <w:pStyle w:val="FirstParagraph"/>
      </w:pPr>
      <w:r>
        <w:t xml:space="preserve">There are 133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Vision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Exhaustion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vdapache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APACHE II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lab04e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bl>
    <w:p>
      <w:r>
        <w:br w:type="page"/>
      </w:r>
    </w:p>
    <w:bookmarkEnd w:id="35"/>
    <w:bookmarkStart w:id="52"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r>
        <w:br w:type="page"/>
      </w:r>
    </w:p>
    <w:p>
      <w:pPr>
        <w:pStyle w:val="BodyText"/>
      </w:pPr>
      <w:r>
        <w:t xml:space="preserve">Of the 133 variables we start with, we dropped 25 of them for having a low amount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Vision Impairment</w:t>
            </w:r>
          </w:p>
        </w:tc>
        <w:tc>
          <w:tcPr/>
          <w:p>
            <w:pPr>
              <w:pStyle w:val="Compact"/>
            </w:pPr>
          </w:p>
        </w:tc>
      </w:tr>
      <w:tr>
        <w:tc>
          <w:tcPr/>
          <w:p>
            <w:pPr>
              <w:pStyle w:val="Compact"/>
              <w:jc w:val="left"/>
            </w:pPr>
            <w:r>
              <w:t xml:space="preserve">No_impairment</w:t>
            </w:r>
          </w:p>
        </w:tc>
        <w:tc>
          <w:tcPr/>
          <w:p>
            <w:pPr>
              <w:pStyle w:val="Compact"/>
              <w:jc w:val="center"/>
            </w:pPr>
            <w:r>
              <w:t xml:space="preserve">556 (99%)</w:t>
            </w:r>
          </w:p>
        </w:tc>
      </w:tr>
      <w:tr>
        <w:tc>
          <w:tcPr/>
          <w:p>
            <w:pPr>
              <w:pStyle w:val="Compact"/>
              <w:jc w:val="left"/>
            </w:pPr>
            <w:r>
              <w:t xml:space="preserve">Impairment</w:t>
            </w:r>
          </w:p>
        </w:tc>
        <w:tc>
          <w:tcPr/>
          <w:p>
            <w:pPr>
              <w:pStyle w:val="Compact"/>
              <w:jc w:val="center"/>
            </w:pPr>
            <w:r>
              <w:t xml:space="preserve">4 (0.7%)</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Anesthesia: local</w:t>
            </w:r>
          </w:p>
        </w:tc>
        <w:tc>
          <w:tcPr/>
          <w:p>
            <w:pPr>
              <w:pStyle w:val="Compact"/>
            </w:pPr>
          </w:p>
        </w:tc>
      </w:tr>
      <w:tr>
        <w:tc>
          <w:tcPr/>
          <w:p>
            <w:pPr>
              <w:pStyle w:val="Compact"/>
              <w:jc w:val="left"/>
            </w:pPr>
            <w:r>
              <w:t xml:space="preserve">No</w:t>
            </w:r>
          </w:p>
        </w:tc>
        <w:tc>
          <w:tcPr/>
          <w:p>
            <w:pPr>
              <w:pStyle w:val="Compact"/>
              <w:jc w:val="center"/>
            </w:pPr>
            <w:r>
              <w:t xml:space="preserve">543 (97%)</w:t>
            </w:r>
          </w:p>
        </w:tc>
      </w:tr>
      <w:tr>
        <w:tc>
          <w:tcPr/>
          <w:p>
            <w:pPr>
              <w:pStyle w:val="Compact"/>
              <w:jc w:val="left"/>
            </w:pPr>
            <w:r>
              <w:t xml:space="preserve">Yes</w:t>
            </w:r>
          </w:p>
        </w:tc>
        <w:tc>
          <w:tcPr/>
          <w:p>
            <w:pPr>
              <w:pStyle w:val="Compact"/>
              <w:jc w:val="center"/>
            </w:pPr>
            <w:r>
              <w:t xml:space="preserve">17 (3.0%)</w:t>
            </w:r>
          </w:p>
        </w:tc>
      </w:tr>
      <w:tr>
        <w:tc>
          <w:tcPr/>
          <w:p>
            <w:pPr>
              <w:pStyle w:val="Compact"/>
              <w:jc w:val="left"/>
            </w:pPr>
            <w:r>
              <w:t xml:space="preserve">Anesthesia: midazolam</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No</w:t>
            </w:r>
          </w:p>
        </w:tc>
        <w:tc>
          <w:tcPr/>
          <w:p>
            <w:pPr>
              <w:pStyle w:val="Compact"/>
              <w:jc w:val="center"/>
            </w:pPr>
            <w:r>
              <w:t xml:space="preserve">557 (99%)</w:t>
            </w:r>
          </w:p>
        </w:tc>
      </w:tr>
      <w:tr>
        <w:tc>
          <w:tcPr/>
          <w:p>
            <w:pPr>
              <w:pStyle w:val="Compact"/>
              <w:jc w:val="left"/>
            </w:pPr>
            <w:r>
              <w:t xml:space="preserve">Yes</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No</w:t>
            </w:r>
          </w:p>
        </w:tc>
        <w:tc>
          <w:tcPr/>
          <w:p>
            <w:pPr>
              <w:pStyle w:val="Compact"/>
              <w:jc w:val="center"/>
            </w:pPr>
            <w:r>
              <w:t xml:space="preserve">553 (99%)</w:t>
            </w:r>
          </w:p>
        </w:tc>
      </w:tr>
      <w:tr>
        <w:tc>
          <w:tcPr/>
          <w:p>
            <w:pPr>
              <w:pStyle w:val="Compact"/>
              <w:jc w:val="left"/>
            </w:pPr>
            <w:r>
              <w:t xml:space="preserve">Yes</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No</w:t>
            </w:r>
          </w:p>
        </w:tc>
        <w:tc>
          <w:tcPr/>
          <w:p>
            <w:pPr>
              <w:pStyle w:val="Compact"/>
              <w:jc w:val="center"/>
            </w:pPr>
            <w:r>
              <w:t xml:space="preserve">556 (99%)</w:t>
            </w:r>
          </w:p>
        </w:tc>
      </w:tr>
      <w:tr>
        <w:tc>
          <w:tcPr/>
          <w:p>
            <w:pPr>
              <w:pStyle w:val="Compact"/>
              <w:jc w:val="left"/>
            </w:pPr>
            <w:r>
              <w:t xml:space="preserve">Yes</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No</w:t>
            </w:r>
          </w:p>
        </w:tc>
        <w:tc>
          <w:tcPr/>
          <w:p>
            <w:pPr>
              <w:pStyle w:val="Compact"/>
              <w:jc w:val="center"/>
            </w:pPr>
            <w:r>
              <w:t xml:space="preserve">542 (97%)</w:t>
            </w:r>
          </w:p>
        </w:tc>
      </w:tr>
      <w:tr>
        <w:tc>
          <w:tcPr/>
          <w:p>
            <w:pPr>
              <w:pStyle w:val="Compact"/>
              <w:jc w:val="left"/>
            </w:pPr>
            <w:r>
              <w:t xml:space="preserve">Yes</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No</w:t>
            </w:r>
          </w:p>
        </w:tc>
        <w:tc>
          <w:tcPr/>
          <w:p>
            <w:pPr>
              <w:pStyle w:val="Compact"/>
              <w:jc w:val="center"/>
            </w:pPr>
            <w:r>
              <w:t xml:space="preserve">541 (97%)</w:t>
            </w:r>
          </w:p>
        </w:tc>
      </w:tr>
      <w:tr>
        <w:tc>
          <w:tcPr/>
          <w:p>
            <w:pPr>
              <w:pStyle w:val="Compact"/>
              <w:jc w:val="left"/>
            </w:pPr>
            <w:r>
              <w:t xml:space="preserve">Yes</w:t>
            </w:r>
          </w:p>
        </w:tc>
        <w:tc>
          <w:tcPr/>
          <w:p>
            <w:pPr>
              <w:pStyle w:val="Compact"/>
              <w:jc w:val="center"/>
            </w:pPr>
            <w:r>
              <w:t xml:space="preserve">19 (3.4%)</w:t>
            </w:r>
          </w:p>
        </w:tc>
      </w:tr>
      <w:tr>
        <w:tc>
          <w:tcPr/>
          <w:p>
            <w:pPr>
              <w:pStyle w:val="Compact"/>
              <w:jc w:val="left"/>
            </w:pPr>
            <w:r>
              <w:t xml:space="preserve">Anesthesia: lidocaine</w:t>
            </w:r>
          </w:p>
        </w:tc>
        <w:tc>
          <w:tcPr/>
          <w:p>
            <w:pPr>
              <w:pStyle w:val="Compact"/>
            </w:pPr>
          </w:p>
        </w:tc>
      </w:tr>
      <w:tr>
        <w:tc>
          <w:tcPr/>
          <w:p>
            <w:pPr>
              <w:pStyle w:val="Compact"/>
              <w:jc w:val="left"/>
            </w:pPr>
            <w:r>
              <w:t xml:space="preserve">No</w:t>
            </w:r>
          </w:p>
        </w:tc>
        <w:tc>
          <w:tcPr/>
          <w:p>
            <w:pPr>
              <w:pStyle w:val="Compact"/>
              <w:jc w:val="center"/>
            </w:pPr>
            <w:r>
              <w:t xml:space="preserve">551 (98%)</w:t>
            </w:r>
          </w:p>
        </w:tc>
      </w:tr>
      <w:tr>
        <w:tc>
          <w:tcPr/>
          <w:p>
            <w:pPr>
              <w:pStyle w:val="Compact"/>
              <w:jc w:val="left"/>
            </w:pPr>
            <w:r>
              <w:t xml:space="preserve">Yes</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No</w:t>
            </w:r>
          </w:p>
        </w:tc>
        <w:tc>
          <w:tcPr/>
          <w:p>
            <w:pPr>
              <w:pStyle w:val="Compact"/>
              <w:jc w:val="center"/>
            </w:pPr>
            <w:r>
              <w:t xml:space="preserve">539 (96%)</w:t>
            </w:r>
          </w:p>
        </w:tc>
      </w:tr>
      <w:tr>
        <w:tc>
          <w:tcPr/>
          <w:p>
            <w:pPr>
              <w:pStyle w:val="Compact"/>
              <w:jc w:val="left"/>
            </w:pPr>
            <w:r>
              <w:t xml:space="preserve">Yes</w:t>
            </w:r>
          </w:p>
        </w:tc>
        <w:tc>
          <w:tcPr/>
          <w:p>
            <w:pPr>
              <w:pStyle w:val="Compact"/>
              <w:jc w:val="center"/>
            </w:pPr>
            <w:r>
              <w:t xml:space="preserve">21 (3.8%)</w:t>
            </w:r>
          </w:p>
        </w:tc>
      </w:tr>
      <w:tr>
        <w:tc>
          <w:tcPr/>
          <w:p>
            <w:pPr>
              <w:pStyle w:val="Compact"/>
              <w:jc w:val="left"/>
            </w:pPr>
            <w:r>
              <w:t xml:space="preserve">Anesthesia: rocuronium</w:t>
            </w:r>
          </w:p>
        </w:tc>
        <w:tc>
          <w:tcPr/>
          <w:p>
            <w:pPr>
              <w:pStyle w:val="Compact"/>
            </w:pPr>
          </w:p>
        </w:tc>
      </w:tr>
      <w:tr>
        <w:tc>
          <w:tcPr/>
          <w:p>
            <w:pPr>
              <w:pStyle w:val="Compact"/>
              <w:jc w:val="left"/>
            </w:pPr>
            <w:r>
              <w:t xml:space="preserve">No</w:t>
            </w:r>
          </w:p>
        </w:tc>
        <w:tc>
          <w:tcPr/>
          <w:p>
            <w:pPr>
              <w:pStyle w:val="Compact"/>
              <w:jc w:val="center"/>
            </w:pPr>
            <w:r>
              <w:t xml:space="preserve">545 (97%)</w:t>
            </w:r>
          </w:p>
        </w:tc>
      </w:tr>
      <w:tr>
        <w:tc>
          <w:tcPr/>
          <w:p>
            <w:pPr>
              <w:pStyle w:val="Compact"/>
              <w:jc w:val="left"/>
            </w:pPr>
            <w:r>
              <w:t xml:space="preserve">Yes</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No</w:t>
            </w:r>
          </w:p>
        </w:tc>
        <w:tc>
          <w:tcPr/>
          <w:p>
            <w:pPr>
              <w:pStyle w:val="Compact"/>
              <w:jc w:val="center"/>
            </w:pPr>
            <w:r>
              <w:t xml:space="preserve">559 (100%)</w:t>
            </w:r>
          </w:p>
        </w:tc>
      </w:tr>
      <w:tr>
        <w:tc>
          <w:tcPr/>
          <w:p>
            <w:pPr>
              <w:pStyle w:val="Compact"/>
              <w:jc w:val="left"/>
            </w:pPr>
            <w:r>
              <w:t xml:space="preserve">Yes</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No</w:t>
            </w:r>
          </w:p>
        </w:tc>
        <w:tc>
          <w:tcPr/>
          <w:p>
            <w:pPr>
              <w:pStyle w:val="Compact"/>
              <w:jc w:val="center"/>
            </w:pPr>
            <w:r>
              <w:t xml:space="preserve">558 (100%)</w:t>
            </w:r>
          </w:p>
        </w:tc>
      </w:tr>
      <w:tr>
        <w:tc>
          <w:tcPr/>
          <w:p>
            <w:pPr>
              <w:pStyle w:val="Compact"/>
              <w:jc w:val="left"/>
            </w:pPr>
            <w:r>
              <w:t xml:space="preserve">Yes</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No</w:t>
            </w:r>
          </w:p>
        </w:tc>
        <w:tc>
          <w:tcPr/>
          <w:p>
            <w:pPr>
              <w:pStyle w:val="Compact"/>
              <w:jc w:val="center"/>
            </w:pPr>
            <w:r>
              <w:t xml:space="preserve">555 (99%)</w:t>
            </w:r>
          </w:p>
        </w:tc>
      </w:tr>
      <w:tr>
        <w:tc>
          <w:tcPr/>
          <w:p>
            <w:pPr>
              <w:pStyle w:val="Compact"/>
              <w:jc w:val="left"/>
            </w:pPr>
            <w:r>
              <w:t xml:space="preserve">Yes</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No</w:t>
            </w:r>
          </w:p>
        </w:tc>
        <w:tc>
          <w:tcPr/>
          <w:p>
            <w:pPr>
              <w:pStyle w:val="Compact"/>
              <w:jc w:val="center"/>
            </w:pPr>
            <w:r>
              <w:t xml:space="preserve">548 (98%)</w:t>
            </w:r>
          </w:p>
        </w:tc>
      </w:tr>
      <w:tr>
        <w:tc>
          <w:tcPr/>
          <w:p>
            <w:pPr>
              <w:pStyle w:val="Compact"/>
              <w:jc w:val="left"/>
            </w:pPr>
            <w:r>
              <w:t xml:space="preserve">Yes</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No</w:t>
            </w:r>
          </w:p>
        </w:tc>
        <w:tc>
          <w:tcPr/>
          <w:p>
            <w:pPr>
              <w:pStyle w:val="Compact"/>
              <w:jc w:val="center"/>
            </w:pPr>
            <w:r>
              <w:t xml:space="preserve">554 (99%)</w:t>
            </w:r>
          </w:p>
        </w:tc>
      </w:tr>
      <w:tr>
        <w:tc>
          <w:tcPr/>
          <w:p>
            <w:pPr>
              <w:pStyle w:val="Compact"/>
              <w:jc w:val="left"/>
            </w:pPr>
            <w:r>
              <w:t xml:space="preserve">Yes</w:t>
            </w:r>
          </w:p>
        </w:tc>
        <w:tc>
          <w:tcPr/>
          <w:p>
            <w:pPr>
              <w:pStyle w:val="Compact"/>
              <w:jc w:val="center"/>
            </w:pPr>
            <w:r>
              <w:t xml:space="preserve">6 (1.1%)</w:t>
            </w:r>
          </w:p>
        </w:tc>
      </w:tr>
    </w:tbl>
    <w:p>
      <w:r>
        <w:br w:type="page"/>
      </w:r>
    </w:p>
    <w:p>
      <w:pPr>
        <w:pStyle w:val="BodyText"/>
      </w:pPr>
      <w:r>
        <w:t xml:space="preserve">Of the 108 variables retained, 16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461"/>
        <w:gridCol w:w="1458"/>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Frailty - Low Physical Activity</w:t>
            </w:r>
          </w:p>
        </w:tc>
        <w:tc>
          <w:tcPr/>
          <w:p>
            <w:pPr>
              <w:pStyle w:val="Compact"/>
            </w:pPr>
          </w:p>
        </w:tc>
      </w:tr>
      <w:tr>
        <w:tc>
          <w:tcPr/>
          <w:p>
            <w:pPr>
              <w:pStyle w:val="Compact"/>
              <w:jc w:val="left"/>
            </w:pPr>
            <w:r>
              <w:t xml:space="preserve">0</w:t>
            </w:r>
          </w:p>
        </w:tc>
        <w:tc>
          <w:tcPr/>
          <w:p>
            <w:pPr>
              <w:pStyle w:val="Compact"/>
              <w:jc w:val="center"/>
            </w:pPr>
            <w:r>
              <w:t xml:space="preserve">207 (37%)</w:t>
            </w:r>
          </w:p>
        </w:tc>
      </w:tr>
      <w:tr>
        <w:tc>
          <w:tcPr/>
          <w:p>
            <w:pPr>
              <w:pStyle w:val="Compact"/>
              <w:jc w:val="left"/>
            </w:pPr>
            <w:r>
              <w:t xml:space="preserve">1</w:t>
            </w:r>
          </w:p>
        </w:tc>
        <w:tc>
          <w:tcPr/>
          <w:p>
            <w:pPr>
              <w:pStyle w:val="Compact"/>
              <w:jc w:val="center"/>
            </w:pPr>
            <w:r>
              <w:t xml:space="preserve">353 (63%)</w:t>
            </w:r>
          </w:p>
        </w:tc>
      </w:tr>
      <w:tr>
        <w:tc>
          <w:tcPr/>
          <w:p>
            <w:pPr>
              <w:pStyle w:val="Compact"/>
              <w:jc w:val="left"/>
            </w:pPr>
            <w:r>
              <w:t xml:space="preserve">Creatinine (mg/dL) (Pre-op)</w:t>
            </w:r>
          </w:p>
        </w:tc>
        <w:tc>
          <w:tcPr/>
          <w:p>
            <w:pPr>
              <w:pStyle w:val="Compact"/>
              <w:jc w:val="center"/>
            </w:pPr>
            <w:r>
              <w:t xml:space="preserve">1.00 (0.32)</w:t>
            </w:r>
          </w:p>
        </w:tc>
      </w:tr>
      <w:tr>
        <w:tc>
          <w:tcPr/>
          <w:p>
            <w:pPr>
              <w:pStyle w:val="Compact"/>
              <w:jc w:val="left"/>
            </w:pPr>
            <w:r>
              <w:t xml:space="preserve">Bicarbonate mEq/L) (Pre-op)</w:t>
            </w:r>
          </w:p>
        </w:tc>
        <w:tc>
          <w:tcPr/>
          <w:p>
            <w:pPr>
              <w:pStyle w:val="Compact"/>
              <w:jc w:val="center"/>
            </w:pPr>
            <w:r>
              <w:t xml:space="preserve">27.78 (2.64)</w:t>
            </w:r>
          </w:p>
        </w:tc>
      </w:tr>
      <w:tr>
        <w:tc>
          <w:tcPr/>
          <w:p>
            <w:pPr>
              <w:pStyle w:val="Compact"/>
              <w:jc w:val="left"/>
            </w:pPr>
            <w:r>
              <w:t xml:space="preserve">BUN (mg/dL) (POD1)</w:t>
            </w:r>
          </w:p>
        </w:tc>
        <w:tc>
          <w:tcPr/>
          <w:p>
            <w:pPr>
              <w:pStyle w:val="Compact"/>
              <w:jc w:val="center"/>
            </w:pPr>
            <w:r>
              <w:t xml:space="preserve">18 (8)</w:t>
            </w:r>
          </w:p>
        </w:tc>
      </w:tr>
      <w:tr>
        <w:tc>
          <w:tcPr/>
          <w:p>
            <w:pPr>
              <w:pStyle w:val="Compact"/>
              <w:jc w:val="left"/>
            </w:pPr>
            <w:r>
              <w:t xml:space="preserve">Creatinine (mg/dL) (POD1)</w:t>
            </w:r>
          </w:p>
        </w:tc>
        <w:tc>
          <w:tcPr/>
          <w:p>
            <w:pPr>
              <w:pStyle w:val="Compact"/>
              <w:jc w:val="center"/>
            </w:pPr>
            <w:r>
              <w:t xml:space="preserve">0.96 (0.36)</w:t>
            </w:r>
          </w:p>
        </w:tc>
      </w:tr>
      <w:tr>
        <w:tc>
          <w:tcPr/>
          <w:p>
            <w:pPr>
              <w:pStyle w:val="Compact"/>
              <w:jc w:val="left"/>
            </w:pPr>
            <w:r>
              <w:t xml:space="preserve">Creatinine (mg/dL) (POD2)</w:t>
            </w:r>
          </w:p>
        </w:tc>
        <w:tc>
          <w:tcPr/>
          <w:p>
            <w:pPr>
              <w:pStyle w:val="Compact"/>
              <w:jc w:val="center"/>
            </w:pPr>
            <w:r>
              <w:t xml:space="preserve">1.02 (0.52)</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Anesthesia: general</w:t>
            </w:r>
          </w:p>
        </w:tc>
        <w:tc>
          <w:tcPr/>
          <w:p>
            <w:pPr>
              <w:pStyle w:val="Compact"/>
            </w:pPr>
          </w:p>
        </w:tc>
      </w:tr>
      <w:tr>
        <w:tc>
          <w:tcPr/>
          <w:p>
            <w:pPr>
              <w:pStyle w:val="Compact"/>
              <w:jc w:val="left"/>
            </w:pPr>
            <w:r>
              <w:t xml:space="preserve">No</w:t>
            </w:r>
          </w:p>
        </w:tc>
        <w:tc>
          <w:tcPr/>
          <w:p>
            <w:pPr>
              <w:pStyle w:val="Compact"/>
              <w:jc w:val="center"/>
            </w:pPr>
            <w:r>
              <w:t xml:space="preserve">80 (14%)</w:t>
            </w:r>
          </w:p>
        </w:tc>
      </w:tr>
      <w:tr>
        <w:tc>
          <w:tcPr/>
          <w:p>
            <w:pPr>
              <w:pStyle w:val="Compact"/>
              <w:jc w:val="left"/>
            </w:pPr>
            <w:r>
              <w:t xml:space="preserve">Yes</w:t>
            </w:r>
          </w:p>
        </w:tc>
        <w:tc>
          <w:tcPr/>
          <w:p>
            <w:pPr>
              <w:pStyle w:val="Compact"/>
              <w:jc w:val="center"/>
            </w:pPr>
            <w:r>
              <w:t xml:space="preserve">480 (86%)</w:t>
            </w:r>
          </w:p>
        </w:tc>
      </w:tr>
      <w:tr>
        <w:tc>
          <w:tcPr/>
          <w:p>
            <w:pPr>
              <w:pStyle w:val="Compact"/>
              <w:jc w:val="left"/>
            </w:pPr>
            <w:r>
              <w:t xml:space="preserve">Anesthesia time (ln(hours))</w:t>
            </w:r>
          </w:p>
        </w:tc>
        <w:tc>
          <w:tcPr/>
          <w:p>
            <w:pPr>
              <w:pStyle w:val="Compact"/>
              <w:jc w:val="center"/>
            </w:pPr>
            <w:r>
              <w:t xml:space="preserve">1.11 (0.35)</w:t>
            </w:r>
          </w:p>
        </w:tc>
      </w:tr>
      <w:tr>
        <w:tc>
          <w:tcPr/>
          <w:p>
            <w:pPr>
              <w:pStyle w:val="Compact"/>
              <w:jc w:val="left"/>
            </w:pPr>
            <w:r>
              <w:t xml:space="preserve">total Anticholinergic Drug Scale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165 (29%)</w:t>
            </w:r>
          </w:p>
        </w:tc>
      </w:tr>
      <w:tr>
        <w:tc>
          <w:tcPr/>
          <w:p>
            <w:pPr>
              <w:pStyle w:val="Compact"/>
              <w:jc w:val="left"/>
            </w:pPr>
            <w:r>
              <w:t xml:space="preserve">2</w:t>
            </w:r>
          </w:p>
        </w:tc>
        <w:tc>
          <w:tcPr/>
          <w:p>
            <w:pPr>
              <w:pStyle w:val="Compact"/>
              <w:jc w:val="center"/>
            </w:pPr>
            <w:r>
              <w:t xml:space="preserve">107 (19%)</w:t>
            </w:r>
          </w:p>
        </w:tc>
      </w:tr>
      <w:tr>
        <w:tc>
          <w:tcPr/>
          <w:p>
            <w:pPr>
              <w:pStyle w:val="Compact"/>
              <w:jc w:val="left"/>
            </w:pPr>
            <w:r>
              <w:t xml:space="preserve">3</w:t>
            </w:r>
          </w:p>
        </w:tc>
        <w:tc>
          <w:tcPr/>
          <w:p>
            <w:pPr>
              <w:pStyle w:val="Compact"/>
              <w:jc w:val="center"/>
            </w:pPr>
            <w:r>
              <w:t xml:space="preserve">55 (9.8%)</w:t>
            </w:r>
          </w:p>
        </w:tc>
      </w:tr>
      <w:tr>
        <w:tc>
          <w:tcPr/>
          <w:p>
            <w:pPr>
              <w:pStyle w:val="Compact"/>
              <w:jc w:val="left"/>
            </w:pPr>
            <w:r>
              <w:t xml:space="preserve">4</w:t>
            </w:r>
          </w:p>
        </w:tc>
        <w:tc>
          <w:tcPr/>
          <w:p>
            <w:pPr>
              <w:pStyle w:val="Compact"/>
              <w:jc w:val="center"/>
            </w:pPr>
            <w:r>
              <w:t xml:space="preserve">41 (7.3%)</w:t>
            </w:r>
          </w:p>
        </w:tc>
      </w:tr>
      <w:tr>
        <w:tc>
          <w:tcPr/>
          <w:p>
            <w:pPr>
              <w:pStyle w:val="Compact"/>
              <w:jc w:val="left"/>
            </w:pPr>
            <w:r>
              <w:t xml:space="preserve">5</w:t>
            </w:r>
          </w:p>
        </w:tc>
        <w:tc>
          <w:tcPr/>
          <w:p>
            <w:pPr>
              <w:pStyle w:val="Compact"/>
              <w:jc w:val="center"/>
            </w:pPr>
            <w:r>
              <w:t xml:space="preserve">13 (2.3%)</w:t>
            </w:r>
          </w:p>
        </w:tc>
      </w:tr>
      <w:tr>
        <w:tc>
          <w:tcPr/>
          <w:p>
            <w:pPr>
              <w:pStyle w:val="Compact"/>
              <w:jc w:val="left"/>
            </w:pPr>
            <w:r>
              <w:t xml:space="preserve">6</w:t>
            </w:r>
          </w:p>
        </w:tc>
        <w:tc>
          <w:tcPr/>
          <w:p>
            <w:pPr>
              <w:pStyle w:val="Compact"/>
              <w:jc w:val="center"/>
            </w:pPr>
            <w:r>
              <w:t xml:space="preserve">5 (0.9%)</w:t>
            </w:r>
          </w:p>
        </w:tc>
      </w:tr>
      <w:tr>
        <w:tc>
          <w:tcPr/>
          <w:p>
            <w:pPr>
              <w:pStyle w:val="Compact"/>
              <w:jc w:val="left"/>
            </w:pPr>
            <w:r>
              <w:t xml:space="preserve">7</w:t>
            </w:r>
          </w:p>
        </w:tc>
        <w:tc>
          <w:tcPr/>
          <w:p>
            <w:pPr>
              <w:pStyle w:val="Compact"/>
              <w:jc w:val="center"/>
            </w:pPr>
            <w:r>
              <w:t xml:space="preserve">2 (0.4%)</w:t>
            </w:r>
          </w:p>
        </w:tc>
      </w:tr>
      <w:tr>
        <w:tc>
          <w:tcPr/>
          <w:p>
            <w:pPr>
              <w:pStyle w:val="Compact"/>
              <w:jc w:val="left"/>
            </w:pPr>
            <w:r>
              <w:t xml:space="preserve">8</w:t>
            </w:r>
          </w:p>
        </w:tc>
        <w:tc>
          <w:tcPr/>
          <w:p>
            <w:pPr>
              <w:pStyle w:val="Compact"/>
              <w:jc w:val="center"/>
            </w:pPr>
            <w:r>
              <w:t xml:space="preserve">5 (0.9%)</w:t>
            </w:r>
          </w:p>
        </w:tc>
      </w:tr>
      <w:tr>
        <w:tc>
          <w:tcPr/>
          <w:p>
            <w:pPr>
              <w:pStyle w:val="Compact"/>
              <w:jc w:val="left"/>
            </w:pPr>
            <w:r>
              <w:t xml:space="preserve">number of medications contributing points to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189 (34%)</w:t>
            </w:r>
          </w:p>
        </w:tc>
      </w:tr>
      <w:tr>
        <w:tc>
          <w:tcPr/>
          <w:p>
            <w:pPr>
              <w:pStyle w:val="Compact"/>
              <w:jc w:val="left"/>
            </w:pPr>
            <w:r>
              <w:t xml:space="preserve">2</w:t>
            </w:r>
          </w:p>
        </w:tc>
        <w:tc>
          <w:tcPr/>
          <w:p>
            <w:pPr>
              <w:pStyle w:val="Compact"/>
              <w:jc w:val="center"/>
            </w:pPr>
            <w:r>
              <w:t xml:space="preserve">132 (24%)</w:t>
            </w:r>
          </w:p>
        </w:tc>
      </w:tr>
      <w:tr>
        <w:tc>
          <w:tcPr/>
          <w:p>
            <w:pPr>
              <w:pStyle w:val="Compact"/>
              <w:jc w:val="left"/>
            </w:pPr>
            <w:r>
              <w:t xml:space="preserve">3</w:t>
            </w:r>
          </w:p>
        </w:tc>
        <w:tc>
          <w:tcPr/>
          <w:p>
            <w:pPr>
              <w:pStyle w:val="Compact"/>
              <w:jc w:val="center"/>
            </w:pPr>
            <w:r>
              <w:t xml:space="preserve">51 (9.1%)</w:t>
            </w:r>
          </w:p>
        </w:tc>
      </w:tr>
      <w:tr>
        <w:tc>
          <w:tcPr/>
          <w:p>
            <w:pPr>
              <w:pStyle w:val="Compact"/>
              <w:jc w:val="left"/>
            </w:pPr>
            <w:r>
              <w:t xml:space="preserve">4</w:t>
            </w:r>
          </w:p>
        </w:tc>
        <w:tc>
          <w:tcPr/>
          <w:p>
            <w:pPr>
              <w:pStyle w:val="Compact"/>
              <w:jc w:val="center"/>
            </w:pPr>
            <w:r>
              <w:t xml:space="preserve">18 (3.2%)</w:t>
            </w:r>
          </w:p>
        </w:tc>
      </w:tr>
      <w:tr>
        <w:tc>
          <w:tcPr/>
          <w:p>
            <w:pPr>
              <w:pStyle w:val="Compact"/>
              <w:jc w:val="left"/>
            </w:pPr>
            <w:r>
              <w:t xml:space="preserve">5</w:t>
            </w:r>
          </w:p>
        </w:tc>
        <w:tc>
          <w:tcPr/>
          <w:p>
            <w:pPr>
              <w:pStyle w:val="Compact"/>
              <w:jc w:val="center"/>
            </w:pPr>
            <w:r>
              <w:t xml:space="preserve">2 (0.4%)</w:t>
            </w:r>
          </w:p>
        </w:tc>
      </w:tr>
      <w:tr>
        <w:tc>
          <w:tcPr/>
          <w:p>
            <w:pPr>
              <w:pStyle w:val="Compact"/>
              <w:jc w:val="left"/>
            </w:pPr>
            <w:r>
              <w:t xml:space="preserve">6</w:t>
            </w:r>
          </w:p>
        </w:tc>
        <w:tc>
          <w:tcPr/>
          <w:p>
            <w:pPr>
              <w:pStyle w:val="Compact"/>
              <w:jc w:val="center"/>
            </w:pPr>
            <w:r>
              <w:t xml:space="preserve">1 (0.2%)</w:t>
            </w:r>
          </w:p>
        </w:tc>
      </w:tr>
      <w:tr>
        <w:tc>
          <w:tcPr/>
          <w:p>
            <w:pPr>
              <w:pStyle w:val="Compact"/>
              <w:jc w:val="left"/>
            </w:pPr>
            <w:r>
              <w:t xml:space="preserve">Number of medications with ADS activity &gt;1</w:t>
            </w:r>
          </w:p>
        </w:tc>
        <w:tc>
          <w:tcPr/>
          <w:p>
            <w:pPr>
              <w:pStyle w:val="Compact"/>
            </w:pPr>
          </w:p>
        </w:tc>
      </w:tr>
      <w:tr>
        <w:tc>
          <w:tcPr/>
          <w:p>
            <w:pPr>
              <w:pStyle w:val="Compact"/>
              <w:jc w:val="left"/>
            </w:pPr>
            <w:r>
              <w:t xml:space="preserve">0</w:t>
            </w:r>
          </w:p>
        </w:tc>
        <w:tc>
          <w:tcPr/>
          <w:p>
            <w:pPr>
              <w:pStyle w:val="Compact"/>
              <w:jc w:val="center"/>
            </w:pPr>
            <w:r>
              <w:t xml:space="preserve">467 (83%)</w:t>
            </w:r>
          </w:p>
        </w:tc>
      </w:tr>
      <w:tr>
        <w:tc>
          <w:tcPr/>
          <w:p>
            <w:pPr>
              <w:pStyle w:val="Compact"/>
              <w:jc w:val="left"/>
            </w:pPr>
            <w:r>
              <w:t xml:space="preserve">1_2</w:t>
            </w:r>
          </w:p>
        </w:tc>
        <w:tc>
          <w:tcPr/>
          <w:p>
            <w:pPr>
              <w:pStyle w:val="Compact"/>
              <w:jc w:val="center"/>
            </w:pPr>
            <w:r>
              <w:t xml:space="preserve">93 (17%)</w:t>
            </w:r>
          </w:p>
        </w:tc>
      </w:tr>
      <w:tr>
        <w:tc>
          <w:tcPr/>
          <w:p>
            <w:pPr>
              <w:pStyle w:val="Compact"/>
              <w:jc w:val="left"/>
            </w:pPr>
            <w:r>
              <w:t xml:space="preserve">total Anticholinergic Cognitive Burden (ACB) scale score</w:t>
            </w:r>
          </w:p>
        </w:tc>
        <w:tc>
          <w:tcPr/>
          <w:p>
            <w:pPr>
              <w:pStyle w:val="Compact"/>
              <w:jc w:val="center"/>
            </w:pPr>
            <w:r>
              <w:t xml:space="preserve">1.66 (1.70)</w:t>
            </w:r>
          </w:p>
        </w:tc>
      </w:tr>
      <w:tr>
        <w:tc>
          <w:tcPr/>
          <w:p>
            <w:pPr>
              <w:pStyle w:val="Compact"/>
              <w:jc w:val="left"/>
            </w:pPr>
            <w:r>
              <w:t xml:space="preserve">average ADS score per medication (computed as ACB/Num_med)</w:t>
            </w:r>
          </w:p>
        </w:tc>
        <w:tc>
          <w:tcPr/>
          <w:p>
            <w:pPr>
              <w:pStyle w:val="Compact"/>
              <w:jc w:val="center"/>
            </w:pPr>
            <w:r>
              <w:t xml:space="preserve">0.21 (0.21)</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1</w:t>
            </w:r>
          </w:p>
        </w:tc>
        <w:tc>
          <w:tcPr/>
          <w:p>
            <w:pPr>
              <w:pStyle w:val="Compact"/>
              <w:jc w:val="center"/>
            </w:pPr>
            <w:r>
              <w:t xml:space="preserve">0 (0%)</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4_9</w:t>
            </w:r>
          </w:p>
        </w:tc>
        <w:tc>
          <w:tcPr/>
          <w:p>
            <w:pPr>
              <w:pStyle w:val="Compact"/>
              <w:jc w:val="center"/>
            </w:pPr>
            <w:r>
              <w:t xml:space="preserve">13 (2.3%)</w:t>
            </w:r>
          </w:p>
        </w:tc>
      </w:tr>
      <w:tr>
        <w:tc>
          <w:tcPr/>
          <w:p>
            <w:pPr>
              <w:pStyle w:val="Compact"/>
              <w:jc w:val="left"/>
            </w:pPr>
            <w:r>
              <w:t xml:space="preserve">ASA Class &gt;=3 (vs &lt;=2)</w:t>
            </w:r>
          </w:p>
        </w:tc>
        <w:tc>
          <w:tcPr/>
          <w:p>
            <w:pPr>
              <w:pStyle w:val="Compact"/>
            </w:pPr>
          </w:p>
        </w:tc>
      </w:tr>
      <w:tr>
        <w:tc>
          <w:tcPr/>
          <w:p>
            <w:pPr>
              <w:pStyle w:val="Compact"/>
              <w:jc w:val="left"/>
            </w:pPr>
            <w:r>
              <w:t xml:space="preserve">No</w:t>
            </w:r>
          </w:p>
        </w:tc>
        <w:tc>
          <w:tcPr/>
          <w:p>
            <w:pPr>
              <w:pStyle w:val="Compact"/>
              <w:jc w:val="center"/>
            </w:pPr>
            <w:r>
              <w:t xml:space="preserve">207 (37%)</w:t>
            </w:r>
          </w:p>
        </w:tc>
      </w:tr>
      <w:tr>
        <w:tc>
          <w:tcPr/>
          <w:p>
            <w:pPr>
              <w:pStyle w:val="Compact"/>
              <w:jc w:val="left"/>
            </w:pPr>
            <w:r>
              <w:t xml:space="preserve">Yes</w:t>
            </w:r>
          </w:p>
        </w:tc>
        <w:tc>
          <w:tcPr/>
          <w:p>
            <w:pPr>
              <w:pStyle w:val="Compact"/>
              <w:jc w:val="center"/>
            </w:pPr>
            <w:r>
              <w:t xml:space="preserve">353 (63%)</w:t>
            </w:r>
          </w:p>
        </w:tc>
      </w:tr>
    </w:tbl>
    <w:p>
      <w:r>
        <w:br w:type="page"/>
      </w:r>
    </w:p>
    <w:bookmarkStart w:id="36" w:name="X0e9357f223503930467aca701de60ef9f8aff06"/>
    <w:p>
      <w:pPr>
        <w:pStyle w:val="Heading3"/>
      </w:pPr>
      <w:r>
        <w:t xml:space="preserve">List of predictive features after dropping for missingness, low variance, and redundancy:</w:t>
      </w:r>
    </w:p>
    <w:p>
      <w:pPr>
        <w:pStyle w:val="FirstParagraph"/>
      </w:pPr>
      <w:r>
        <w:t xml:space="preserve">There are 92 variables retained after the redundancy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Exhaustion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vdapache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APACHE II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lab07a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Chloride (mEq/L)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lab09a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Glucose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lab14a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 (mg/dL)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lab06c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Potassium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lab08c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Bicarbonate (mEq/L)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lab02e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Hematocrit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lab03e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 (mg/dL)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lab.anion.gap.1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Anion Gap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bl>
    <w:bookmarkEnd w:id="36"/>
    <w:bookmarkStart w:id="51" w:name="principal-component-analysis"/>
    <w:p>
      <w:pPr>
        <w:pStyle w:val="Heading2"/>
      </w:pPr>
      <w:r>
        <w:t xml:space="preserve">Principal component analysis</w:t>
      </w:r>
    </w:p>
    <w:p>
      <w:pPr>
        <w:pStyle w:val="FirstParagraph"/>
      </w:pPr>
      <w:r>
        <w:t xml:space="preserve">After the redundancy analysis, several versions of a principal components analysis was done that made linear combinations of various groupings of the remaining variables.</w:t>
      </w:r>
    </w:p>
    <w:p>
      <w:pPr>
        <w:pStyle w:val="BodyText"/>
      </w:pPr>
      <w:r>
        <w:t xml:space="preserve">The first group of principal components used all 93 variables.</w:t>
      </w:r>
      <w:r>
        <w:t xml:space="preserve"> </w:t>
      </w:r>
      <w:r>
        <w:t xml:space="preserve">The second group of principal components used 7 variables that received 3 or more votes from the expert panel.</w:t>
      </w:r>
      <w:r>
        <w:t xml:space="preserve"> </w:t>
      </w:r>
      <w:r>
        <w:t xml:space="preserve">The second group of principal components used 14 variables that received 2 or more votes from the expert panel.</w:t>
      </w:r>
      <w:r>
        <w:t xml:space="preserve"> </w:t>
      </w:r>
      <w:r>
        <w:t xml:space="preserve">The second group of principal components used 28 variables that received 1 or more votes from the expert panel.</w:t>
      </w:r>
    </w:p>
    <w:p>
      <w:pPr>
        <w:pStyle w:val="BodyText"/>
      </w:pPr>
      <w:r>
        <w:t xml:space="preserve">Prior to the PCA factor variables were turned into dummy indicator variables and then all variables were centered and scaled.</w:t>
      </w:r>
    </w:p>
    <w:bookmarkStart w:id="40" w:name="complete-variable-set"/>
    <w:p>
      <w:pPr>
        <w:pStyle w:val="Heading3"/>
      </w:pPr>
      <w:r>
        <w:t xml:space="preserve">Complete variable set</w:t>
      </w:r>
    </w:p>
    <w:p>
      <w:pPr>
        <w:pStyle w:val="FirstParagraph"/>
      </w:pPr>
      <w:r>
        <w:t xml:space="preserve">There are 94 variables and thus principal components in total.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754880"/>
                  <wp:effectExtent b="0" l="0" r="0" t="0"/>
                  <wp:docPr descr="" title="" id="38" name="Picture"/>
                  <a:graphic>
                    <a:graphicData uri="http://schemas.openxmlformats.org/drawingml/2006/picture">
                      <pic:pic>
                        <pic:nvPicPr>
                          <pic:cNvPr descr="000-Master-Variable_selection_files/figure-docx/unnamed-chunk-20-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Amount of variance explained by the prinicpal components</w:t>
            </w:r>
          </w:p>
        </w:tc>
      </w:tr>
    </w:tbl>
    <w:p>
      <w:pPr>
        <w:pStyle w:val="BodyText"/>
      </w:pPr>
      <w:r>
        <w:t xml:space="preserve">The first 25 components explain 59.3 percent of the variance.</w:t>
      </w:r>
    </w:p>
    <w:bookmarkEnd w:id="40"/>
    <w:bookmarkStart w:id="50" w:name="expert-panel-variable-sets"/>
    <w:p>
      <w:pPr>
        <w:pStyle w:val="Heading3"/>
      </w:pPr>
      <w:r>
        <w:t xml:space="preserve">Expert panel variable sets</w:t>
      </w:r>
    </w:p>
    <w:p>
      <w:pPr>
        <w:pStyle w:val="FirstParagraph"/>
      </w:pPr>
      <w:r>
        <w:t xml:space="preserve">After the previous PCA showed that the first several principal components don’t explain as much variance as expected, the expert panel voted on which variables to keep. These are the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Expert panel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bottom w:val="single" w:sz="16" w:space="0" w:color="D3D3D3"/>
            </w:tcBorders>
          </w:tcPr>
          <w:p>
            <w:pPr>
              <w:spacing w:before="0" w:after="60"/>
              <w:keepNext/>
              <w:jc w:val="start"/>
            </w:pPr>
            <w:r>
              <w:rPr>
                <w:rFonts w:ascii="Calibri" w:hAnsi="Calibri"/>
                <w:sz w:val="20"/>
              </w:rPr>
              <w:t xml:space="default">Label</w:t>
            </w:r>
          </w:p>
        </w:tc>
        <w:tc>
          <w:tcPr>
            <w:tcBorders>
              <w:bottom w:val="single" w:sz="16" w:space="0" w:color="D3D3D3"/>
            </w:tcBorders>
          </w:tcPr>
          <w:p>
            <w:pPr>
              <w:spacing w:before="0" w:after="60"/>
              <w:keepNext/>
              <w:jc w:val="center"/>
            </w:pPr>
            <w:r>
              <w:rPr>
                <w:rFonts w:ascii="Calibri" w:hAnsi="Calibri"/>
                <w:sz w:val="20"/>
              </w:rPr>
              <w:t xml:space="default">Received 3+ votes</w:t>
            </w:r>
          </w:p>
        </w:tc>
        <w:tc>
          <w:tcPr>
            <w:tcBorders>
              <w:bottom w:val="single" w:sz="16" w:space="0" w:color="D3D3D3"/>
            </w:tcBorders>
          </w:tcPr>
          <w:p>
            <w:pPr>
              <w:spacing w:before="0" w:after="60"/>
              <w:keepNext/>
              <w:jc w:val="center"/>
            </w:pPr>
            <w:r>
              <w:rPr>
                <w:rFonts w:ascii="Calibri" w:hAnsi="Calibri"/>
                <w:sz w:val="20"/>
              </w:rPr>
              <w:t xml:space="default">Received 2+ votes</w:t>
            </w:r>
          </w:p>
        </w:tc>
        <w:tc>
          <w:tcPr>
            <w:tcBorders>
              <w:bottom w:val="single" w:sz="16" w:space="0" w:color="D3D3D3"/>
              <w:end w:val="single" w:space="0" w:color="D3D3D3"/>
            </w:tcBorders>
          </w:tcPr>
          <w:p>
            <w:pPr>
              <w:spacing w:before="0" w:after="60"/>
              <w:keepNext/>
              <w:jc w:val="center"/>
            </w:pPr>
            <w:r>
              <w:rPr>
                <w:rFonts w:ascii="Calibri" w:hAnsi="Calibri"/>
                <w:sz w:val="20"/>
              </w:rPr>
              <w:t xml:space="default">Received 1+ votes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Frailty - Low Timed Walk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vdapache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APACHE II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lab01a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WBC (x103) (Pre-op)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lab05a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Sodium (mEq/L) (Pre-op)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lab15c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O2 saturation (%) (POD1)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lab.bun.cre.ratio.1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BUN/creatinine ratio (Pre-op)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FALSE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754880"/>
                  <wp:effectExtent b="0" l="0" r="0" t="0"/>
                  <wp:docPr descr="" title="" id="42" name="Picture"/>
                  <a:graphic>
                    <a:graphicData uri="http://schemas.openxmlformats.org/drawingml/2006/picture">
                      <pic:pic>
                        <pic:nvPicPr>
                          <pic:cNvPr descr="000-Master-Variable_selection_files/figure-docx/unnamed-chunk-24-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Amount of variance explained by the prinicpal components (3+ votes by expert panel)</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754880"/>
                  <wp:effectExtent b="0" l="0" r="0" t="0"/>
                  <wp:docPr descr="" title="" id="45" name="Picture"/>
                  <a:graphic>
                    <a:graphicData uri="http://schemas.openxmlformats.org/drawingml/2006/picture">
                      <pic:pic>
                        <pic:nvPicPr>
                          <pic:cNvPr descr="000-Master-Variable_selection_files/figure-docx/unnamed-chunk-26-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Amount of variance explained by the prinicpal components (2+ votes by expert panel)</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754880"/>
                  <wp:effectExtent b="0" l="0" r="0" t="0"/>
                  <wp:docPr descr="" title="" id="48" name="Picture"/>
                  <a:graphic>
                    <a:graphicData uri="http://schemas.openxmlformats.org/drawingml/2006/picture">
                      <pic:pic>
                        <pic:nvPicPr>
                          <pic:cNvPr descr="000-Master-Variable_selection_files/figure-docx/unnamed-chunk-28-1.png" id="49" name="Picture"/>
                          <pic:cNvPicPr>
                            <a:picLocks noChangeArrowheads="1" noChangeAspect="1"/>
                          </pic:cNvPicPr>
                        </pic:nvPicPr>
                        <pic:blipFill>
                          <a:blip r:embed="rId4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Amount of variance explained by the prinicpal components (1+ votes by expert panel)</w:t>
            </w:r>
          </w:p>
        </w:tc>
      </w:tr>
    </w:tbl>
    <w:bookmarkEnd w:id="50"/>
    <w:bookmarkEnd w:id="51"/>
    <w:bookmarkEnd w:id="52"/>
    <w:sectPr w:rsidR="007161AD">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5474250"/>
      <w:docPartObj>
        <w:docPartGallery w:val="Page Numbers (Bottom of Page)"/>
        <w:docPartUnique/>
      </w:docPartObj>
    </w:sdtPr>
    <w:sdtContent>
      <w:p w14:paraId="452CB413" w14:textId="601B5625"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5C17" w14:textId="77777777" w:rsidR="00C23836" w:rsidRDefault="00C23836" w:rsidP="00C238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393833"/>
      <w:docPartObj>
        <w:docPartGallery w:val="Page Numbers (Bottom of Page)"/>
        <w:docPartUnique/>
      </w:docPartObj>
    </w:sdtPr>
    <w:sdtContent>
      <w:p w14:paraId="0B1A4705" w14:textId="1BA24B58" w:rsidR="00C23836" w:rsidRDefault="00C23836" w:rsidP="00404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BC93" w14:textId="77777777" w:rsidR="00C23836" w:rsidRDefault="00C23836" w:rsidP="00C238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294" w14:textId="77777777" w:rsidR="00C23836" w:rsidRDefault="00C238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F8B0" w14:textId="77777777" w:rsidR="00C23836" w:rsidRDefault="00C23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CAAF" w14:textId="77777777" w:rsidR="00C23836" w:rsidRDefault="00C23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24AF" w14:textId="77777777" w:rsidR="00C23836" w:rsidRDefault="00C2383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0AF6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55262D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017913" w:numId="1">
    <w:abstractNumId w:val="0"/>
  </w:num>
  <w:num w16cid:durableId="590428338"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635D"/>
    <w:pPr>
      <w:spacing w:after="100"/>
    </w:pPr>
    <w:rPr>
      <w:rFonts w:ascii="Arial" w:hAnsi="Arial"/>
      <w:sz w:val="22"/>
    </w:rPr>
  </w:style>
  <w:style w:styleId="Heading1" w:type="paragraph">
    <w:name w:val="heading 1"/>
    <w:basedOn w:val="Normal"/>
    <w:next w:val="BodyText"/>
    <w:uiPriority w:val="9"/>
    <w:qFormat/>
    <w:rsid w:val="00B9635D"/>
    <w:pPr>
      <w:keepNext/>
      <w:keepLines/>
      <w:spacing w:after="0" w:before="20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B9635D"/>
    <w:pPr>
      <w:keepNext/>
      <w:keepLines/>
      <w:spacing w:after="0" w:before="20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B9635D"/>
    <w:pPr>
      <w:keepNext/>
      <w:keepLines/>
      <w:spacing w:after="0" w:before="1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9635D"/>
    <w:pPr>
      <w:spacing w:after="100" w:before="100"/>
    </w:pPr>
  </w:style>
  <w:style w:customStyle="1" w:styleId="Compact" w:type="paragraph">
    <w:name w:val="Compact"/>
    <w:basedOn w:val="BodyText"/>
    <w:qFormat/>
    <w:pPr>
      <w:spacing w:after="36" w:before="36"/>
    </w:pPr>
  </w:style>
  <w:style w:styleId="Title" w:type="paragraph">
    <w:name w:val="Title"/>
    <w:basedOn w:val="Normal"/>
    <w:next w:val="BodyText"/>
    <w:qFormat/>
    <w:rsid w:val="00B9635D"/>
    <w:pPr>
      <w:keepNext/>
      <w:keepLines/>
      <w:spacing w:after="0"/>
    </w:pPr>
    <w:rPr>
      <w:rFonts w:cstheme="majorBidi" w:eastAsiaTheme="majorEastAsia"/>
      <w:b/>
      <w:bCs/>
      <w:color w:themeColor="text1" w:val="000000"/>
      <w:szCs w:val="36"/>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rsid w:val="00B9635D"/>
    <w:pPr>
      <w:keepNext/>
      <w:keepLines/>
      <w:spacing w:after="0"/>
    </w:pPr>
    <w:rPr>
      <w:rFonts w:ascii="Arial" w:hAnsi="Arial"/>
    </w:rPr>
  </w:style>
  <w:style w:styleId="Date" w:type="paragraph">
    <w:name w:val="Date"/>
    <w:next w:val="BodyText"/>
    <w:qFormat/>
    <w:rsid w:val="00B9635D"/>
    <w:pPr>
      <w:keepNext/>
      <w:keepLines/>
      <w:spacing w:after="0"/>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CommentReference" w:type="character">
    <w:name w:val="annotation reference"/>
    <w:basedOn w:val="DefaultParagraphFont"/>
    <w:rsid w:val="00B9635D"/>
    <w:rPr>
      <w:sz w:val="16"/>
      <w:szCs w:val="16"/>
    </w:rPr>
  </w:style>
  <w:style w:styleId="CommentText" w:type="paragraph">
    <w:name w:val="annotation text"/>
    <w:basedOn w:val="Normal"/>
    <w:link w:val="CommentTextChar"/>
    <w:rsid w:val="00B9635D"/>
    <w:rPr>
      <w:sz w:val="20"/>
      <w:szCs w:val="20"/>
    </w:rPr>
  </w:style>
  <w:style w:customStyle="1" w:styleId="CommentTextChar" w:type="character">
    <w:name w:val="Comment Text Char"/>
    <w:basedOn w:val="DefaultParagraphFont"/>
    <w:link w:val="CommentText"/>
    <w:rsid w:val="00B9635D"/>
    <w:rPr>
      <w:sz w:val="20"/>
      <w:szCs w:val="20"/>
    </w:rPr>
  </w:style>
  <w:style w:styleId="CommentSubject" w:type="paragraph">
    <w:name w:val="annotation subject"/>
    <w:basedOn w:val="CommentText"/>
    <w:next w:val="CommentText"/>
    <w:link w:val="CommentSubjectChar"/>
    <w:rsid w:val="00B9635D"/>
    <w:rPr>
      <w:b/>
      <w:bCs/>
    </w:rPr>
  </w:style>
  <w:style w:customStyle="1" w:styleId="CommentSubjectChar" w:type="character">
    <w:name w:val="Comment Subject Char"/>
    <w:basedOn w:val="CommentTextChar"/>
    <w:link w:val="CommentSubject"/>
    <w:rsid w:val="00B9635D"/>
    <w:rPr>
      <w:b/>
      <w:bCs/>
      <w:sz w:val="20"/>
      <w:szCs w:val="20"/>
    </w:rPr>
  </w:style>
  <w:style w:styleId="Footer" w:type="paragraph">
    <w:name w:val="footer"/>
    <w:basedOn w:val="Normal"/>
    <w:link w:val="FooterChar"/>
    <w:rsid w:val="00C23836"/>
    <w:pPr>
      <w:tabs>
        <w:tab w:pos="4680" w:val="center"/>
        <w:tab w:pos="9360" w:val="right"/>
      </w:tabs>
      <w:spacing w:after="0"/>
    </w:pPr>
  </w:style>
  <w:style w:customStyle="1" w:styleId="FooterChar" w:type="character">
    <w:name w:val="Footer Char"/>
    <w:basedOn w:val="DefaultParagraphFont"/>
    <w:link w:val="Footer"/>
    <w:rsid w:val="00C23836"/>
    <w:rPr>
      <w:rFonts w:ascii="Arial" w:hAnsi="Arial"/>
      <w:sz w:val="22"/>
    </w:rPr>
  </w:style>
  <w:style w:styleId="PageNumber" w:type="character">
    <w:name w:val="page number"/>
    <w:basedOn w:val="DefaultParagraphFont"/>
    <w:rsid w:val="00C23836"/>
    <w:rPr>
      <w:rFonts w:ascii="Arial" w:hAnsi="Arial"/>
    </w:rPr>
  </w:style>
  <w:style w:styleId="Header" w:type="paragraph">
    <w:name w:val="header"/>
    <w:basedOn w:val="Normal"/>
    <w:link w:val="HeaderChar"/>
    <w:rsid w:val="00C23836"/>
    <w:pPr>
      <w:tabs>
        <w:tab w:pos="4680" w:val="center"/>
        <w:tab w:pos="9360" w:val="right"/>
      </w:tabs>
      <w:spacing w:after="0"/>
    </w:pPr>
  </w:style>
  <w:style w:customStyle="1" w:styleId="HeaderChar" w:type="character">
    <w:name w:val="Header Char"/>
    <w:basedOn w:val="DefaultParagraphFont"/>
    <w:link w:val="Header"/>
    <w:rsid w:val="00C238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2503</Words>
  <Characters>14273</Characters>
  <Application>Microsoft Office Word</Application>
  <DocSecurity>0</DocSecurity>
  <Lines>118</Lines>
  <Paragraphs>33</Paragraphs>
  <ScaleCrop>false</ScaleCrop>
  <Company>Brown University</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2024-04-02T16:32:31Z</dcterms:created>
  <dcterms:modified xsi:type="dcterms:W3CDTF">2024-04-02T16:32:31Z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2024-04-02</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