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5DA" w:rsidRPr="00DC261A" w:rsidRDefault="007135DA" w:rsidP="001A4FFC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  <w:tab w:val="left" w:pos="6150"/>
        </w:tabs>
        <w:jc w:val="center"/>
        <w:rPr>
          <w:rFonts w:ascii="Bahnschrift Light" w:hAnsi="Bahnschrift Light"/>
          <w:color w:val="0070C0"/>
          <w:sz w:val="40"/>
          <w:szCs w:val="40"/>
        </w:rPr>
      </w:pPr>
      <w:r w:rsidRPr="00DC261A">
        <w:rPr>
          <w:rFonts w:ascii="Bahnschrift Light" w:hAnsi="Bahnschrift Light"/>
          <w:color w:val="0070C0"/>
          <w:sz w:val="40"/>
          <w:szCs w:val="40"/>
        </w:rPr>
        <w:t>Credit Risk</w:t>
      </w:r>
      <w:r w:rsidR="00C9647A" w:rsidRPr="00DC261A">
        <w:rPr>
          <w:rFonts w:ascii="Bahnschrift Light" w:hAnsi="Bahnschrift Light"/>
          <w:color w:val="0070C0"/>
          <w:sz w:val="40"/>
          <w:szCs w:val="40"/>
        </w:rPr>
        <w:t xml:space="preserve"> – Dependent versus Independent Variables</w:t>
      </w:r>
    </w:p>
    <w:p w:rsidR="007135DA" w:rsidRDefault="007135DA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</w:rPr>
      </w:pPr>
    </w:p>
    <w:p w:rsidR="00923A9E" w:rsidRPr="00593919" w:rsidRDefault="00923A9E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</w:rPr>
      </w:pPr>
    </w:p>
    <w:p w:rsidR="00C9647A" w:rsidRPr="00DC261A" w:rsidRDefault="00C9647A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color w:val="0070C0"/>
          <w:sz w:val="32"/>
          <w:szCs w:val="32"/>
        </w:rPr>
      </w:pPr>
      <w:r w:rsidRPr="00DC261A">
        <w:rPr>
          <w:rFonts w:ascii="Bahnschrift Light" w:hAnsi="Bahnschrift Light"/>
          <w:color w:val="0070C0"/>
          <w:sz w:val="32"/>
          <w:szCs w:val="32"/>
        </w:rPr>
        <w:t xml:space="preserve">1. </w:t>
      </w:r>
      <w:r w:rsidR="007135DA" w:rsidRPr="00DC261A">
        <w:rPr>
          <w:rFonts w:ascii="Bahnschrift Light" w:hAnsi="Bahnschrift Light"/>
          <w:color w:val="0070C0"/>
          <w:sz w:val="32"/>
          <w:szCs w:val="32"/>
        </w:rPr>
        <w:t>Pr</w:t>
      </w:r>
      <w:r w:rsidRPr="00DC261A">
        <w:rPr>
          <w:rFonts w:ascii="Bahnschrift Light" w:hAnsi="Bahnschrift Light"/>
          <w:color w:val="0070C0"/>
          <w:sz w:val="32"/>
          <w:szCs w:val="32"/>
        </w:rPr>
        <w:t>obability of Default (PD) Model</w:t>
      </w:r>
    </w:p>
    <w:p w:rsidR="007135DA" w:rsidRPr="00DC261A" w:rsidRDefault="00C9647A" w:rsidP="00C9647A">
      <w:pPr>
        <w:pStyle w:val="NoSpacing"/>
        <w:numPr>
          <w:ilvl w:val="0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24"/>
        </w:rPr>
      </w:pPr>
      <w:r w:rsidRPr="00DC261A">
        <w:rPr>
          <w:rFonts w:ascii="Bahnschrift Light" w:hAnsi="Bahnschrift Light"/>
          <w:sz w:val="24"/>
        </w:rPr>
        <w:t xml:space="preserve">Purpose: </w:t>
      </w:r>
      <w:r w:rsidR="007135DA" w:rsidRPr="00DC261A">
        <w:rPr>
          <w:rFonts w:ascii="Bahnschrift Light" w:hAnsi="Bahnschrift Light"/>
          <w:sz w:val="24"/>
        </w:rPr>
        <w:t>Estimates the likelihood that a borrower will default w/in a given timeframe (e.g. 12 months).</w:t>
      </w:r>
    </w:p>
    <w:p w:rsidR="007135DA" w:rsidRPr="00593919" w:rsidRDefault="007135DA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</w:rPr>
      </w:pPr>
    </w:p>
    <w:p w:rsidR="00C9647A" w:rsidRPr="00DC261A" w:rsidRDefault="00C72EE6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Depend</w:t>
      </w:r>
      <w:r w:rsidR="007135DA" w:rsidRPr="00DC261A">
        <w:rPr>
          <w:rFonts w:ascii="Bahnschrift Light" w:hAnsi="Bahnschrift Light"/>
          <w:sz w:val="32"/>
          <w:szCs w:val="32"/>
        </w:rPr>
        <w:t>ent Variable</w:t>
      </w:r>
      <w:r w:rsidRPr="00DC261A">
        <w:rPr>
          <w:rFonts w:ascii="Bahnschrift Light" w:hAnsi="Bahnschrift Light"/>
          <w:sz w:val="32"/>
          <w:szCs w:val="32"/>
        </w:rPr>
        <w:t xml:space="preserve"> [</w:t>
      </w:r>
      <w:r w:rsidRPr="00DC261A">
        <w:rPr>
          <w:rFonts w:ascii="Bahnschrift Light" w:hAnsi="Bahnschrift Light"/>
          <w:color w:val="C00000"/>
          <w:sz w:val="32"/>
          <w:szCs w:val="32"/>
        </w:rPr>
        <w:t>the Target</w:t>
      </w:r>
      <w:r w:rsidRPr="00DC261A">
        <w:rPr>
          <w:rFonts w:ascii="Bahnschrift Light" w:hAnsi="Bahnschrift Light"/>
          <w:sz w:val="32"/>
          <w:szCs w:val="32"/>
        </w:rPr>
        <w:t>]</w:t>
      </w:r>
    </w:p>
    <w:p w:rsidR="00C72EE6" w:rsidRPr="00DC261A" w:rsidRDefault="00C72EE6" w:rsidP="00C9647A">
      <w:pPr>
        <w:pStyle w:val="NoSpacing"/>
        <w:numPr>
          <w:ilvl w:val="0"/>
          <w:numId w:val="1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Default Indicator (Binary: 0 or 1)</w:t>
      </w:r>
    </w:p>
    <w:p w:rsidR="00C72EE6" w:rsidRPr="00DC261A" w:rsidRDefault="00C72EE6" w:rsidP="00C9647A">
      <w:pPr>
        <w:pStyle w:val="NoSpacing"/>
        <w:numPr>
          <w:ilvl w:val="1"/>
          <w:numId w:val="1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 xml:space="preserve">1 </w:t>
      </w:r>
      <w:r w:rsidRPr="00DC261A">
        <w:rPr>
          <w:rFonts w:ascii="Bahnschrift Light" w:hAnsi="Bahnschrift Light"/>
          <w:sz w:val="32"/>
          <w:szCs w:val="32"/>
        </w:rPr>
        <w:sym w:font="Wingdings" w:char="F0E0"/>
      </w:r>
      <w:r w:rsidRPr="00DC261A">
        <w:rPr>
          <w:rFonts w:ascii="Bahnschrift Light" w:hAnsi="Bahnschrift Light"/>
          <w:sz w:val="32"/>
          <w:szCs w:val="32"/>
        </w:rPr>
        <w:t xml:space="preserve"> Borrower defaulted</w:t>
      </w:r>
    </w:p>
    <w:p w:rsidR="00C72EE6" w:rsidRPr="00DC261A" w:rsidRDefault="00C72EE6" w:rsidP="00C9647A">
      <w:pPr>
        <w:pStyle w:val="NoSpacing"/>
        <w:numPr>
          <w:ilvl w:val="1"/>
          <w:numId w:val="1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 xml:space="preserve">0 </w:t>
      </w:r>
      <w:r w:rsidRPr="00DC261A">
        <w:rPr>
          <w:rFonts w:ascii="Bahnschrift Light" w:hAnsi="Bahnschrift Light"/>
          <w:sz w:val="32"/>
          <w:szCs w:val="32"/>
        </w:rPr>
        <w:sym w:font="Wingdings" w:char="F0E0"/>
      </w:r>
      <w:r w:rsidRPr="00DC261A">
        <w:rPr>
          <w:rFonts w:ascii="Bahnschrift Light" w:hAnsi="Bahnschrift Light"/>
          <w:sz w:val="32"/>
          <w:szCs w:val="32"/>
        </w:rPr>
        <w:t xml:space="preserve"> Borrower did no default</w:t>
      </w:r>
    </w:p>
    <w:p w:rsidR="00C72EE6" w:rsidRPr="00DC261A" w:rsidRDefault="00C72EE6" w:rsidP="00C9647A">
      <w:pPr>
        <w:pStyle w:val="NoSpacing"/>
        <w:numPr>
          <w:ilvl w:val="0"/>
          <w:numId w:val="1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these are the only output values of a PD Model</w:t>
      </w:r>
    </w:p>
    <w:p w:rsidR="00C72EE6" w:rsidRPr="00DC261A" w:rsidRDefault="00C72EE6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</w:p>
    <w:p w:rsidR="00C9647A" w:rsidRPr="00DC261A" w:rsidRDefault="00C72EE6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Independent Variables [</w:t>
      </w:r>
      <w:r w:rsidRPr="00DC261A">
        <w:rPr>
          <w:rFonts w:ascii="Bahnschrift Light" w:hAnsi="Bahnschrift Light"/>
          <w:b/>
          <w:color w:val="538135" w:themeColor="accent6" w:themeShade="BF"/>
          <w:sz w:val="32"/>
          <w:szCs w:val="32"/>
        </w:rPr>
        <w:t>the Predictors</w:t>
      </w:r>
      <w:r w:rsidRPr="00DC261A">
        <w:rPr>
          <w:rFonts w:ascii="Bahnschrift Light" w:hAnsi="Bahnschrift Light"/>
          <w:sz w:val="32"/>
          <w:szCs w:val="32"/>
        </w:rPr>
        <w:t>]</w:t>
      </w:r>
    </w:p>
    <w:p w:rsidR="00C72EE6" w:rsidRPr="00DC261A" w:rsidRDefault="00C72EE6" w:rsidP="00C9647A">
      <w:pPr>
        <w:pStyle w:val="NoSpacing"/>
        <w:numPr>
          <w:ilvl w:val="0"/>
          <w:numId w:val="1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Borrower Characteristics</w:t>
      </w:r>
    </w:p>
    <w:p w:rsidR="00C9647A" w:rsidRPr="00DC261A" w:rsidRDefault="00C72EE6" w:rsidP="00C9647A">
      <w:pPr>
        <w:pStyle w:val="NoSpacing"/>
        <w:numPr>
          <w:ilvl w:val="1"/>
          <w:numId w:val="1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Age, Income, Employment type, Credit history</w:t>
      </w:r>
    </w:p>
    <w:p w:rsidR="00C9647A" w:rsidRPr="00DC261A" w:rsidRDefault="00C72EE6" w:rsidP="00C9647A">
      <w:pPr>
        <w:pStyle w:val="NoSpacing"/>
        <w:numPr>
          <w:ilvl w:val="0"/>
          <w:numId w:val="1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Loan Features</w:t>
      </w:r>
    </w:p>
    <w:p w:rsidR="00C9647A" w:rsidRPr="00DC261A" w:rsidRDefault="00C72EE6" w:rsidP="00C9647A">
      <w:pPr>
        <w:pStyle w:val="NoSpacing"/>
        <w:numPr>
          <w:ilvl w:val="1"/>
          <w:numId w:val="1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Loan amount, Interest rate, Tenure</w:t>
      </w:r>
    </w:p>
    <w:p w:rsidR="00C72EE6" w:rsidRPr="00DC261A" w:rsidRDefault="00C72EE6" w:rsidP="00C9647A">
      <w:pPr>
        <w:pStyle w:val="NoSpacing"/>
        <w:numPr>
          <w:ilvl w:val="0"/>
          <w:numId w:val="1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Behavioral Variables</w:t>
      </w:r>
    </w:p>
    <w:p w:rsidR="00C9647A" w:rsidRPr="00DC261A" w:rsidRDefault="00C72EE6" w:rsidP="00C9647A">
      <w:pPr>
        <w:pStyle w:val="NoSpacing"/>
        <w:numPr>
          <w:ilvl w:val="1"/>
          <w:numId w:val="1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Missed payments, Credit utilization, Recent inquiries</w:t>
      </w:r>
    </w:p>
    <w:p w:rsidR="00C72EE6" w:rsidRPr="00DC261A" w:rsidRDefault="00C72EE6" w:rsidP="00C9647A">
      <w:pPr>
        <w:pStyle w:val="NoSpacing"/>
        <w:numPr>
          <w:ilvl w:val="0"/>
          <w:numId w:val="1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Macroeconomic Factors</w:t>
      </w:r>
    </w:p>
    <w:p w:rsidR="00C72EE6" w:rsidRPr="00DC261A" w:rsidRDefault="00C72EE6" w:rsidP="00C9647A">
      <w:pPr>
        <w:pStyle w:val="NoSpacing"/>
        <w:numPr>
          <w:ilvl w:val="1"/>
          <w:numId w:val="1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GDP growth, Inflation, Unemployment rate</w:t>
      </w:r>
    </w:p>
    <w:p w:rsidR="00923A9E" w:rsidRDefault="00923A9E">
      <w:pPr>
        <w:rPr>
          <w:rFonts w:ascii="Bahnschrift Light" w:hAnsi="Bahnschrift Light"/>
          <w:color w:val="0070C0"/>
        </w:rPr>
      </w:pPr>
      <w:r>
        <w:rPr>
          <w:rFonts w:ascii="Bahnschrift Light" w:hAnsi="Bahnschrift Light"/>
          <w:color w:val="0070C0"/>
        </w:rPr>
        <w:br w:type="page"/>
      </w:r>
    </w:p>
    <w:p w:rsidR="00C72EE6" w:rsidRPr="00DC261A" w:rsidRDefault="00C9647A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color w:val="0070C0"/>
          <w:sz w:val="32"/>
          <w:szCs w:val="32"/>
        </w:rPr>
      </w:pPr>
      <w:r w:rsidRPr="00DC261A">
        <w:rPr>
          <w:rFonts w:ascii="Bahnschrift Light" w:hAnsi="Bahnschrift Light"/>
          <w:color w:val="0070C0"/>
          <w:sz w:val="32"/>
          <w:szCs w:val="32"/>
        </w:rPr>
        <w:lastRenderedPageBreak/>
        <w:t>2. Loss Given Default (LGD) Model</w:t>
      </w:r>
    </w:p>
    <w:p w:rsidR="00C9647A" w:rsidRPr="00DC261A" w:rsidRDefault="00C9647A" w:rsidP="00C9647A">
      <w:pPr>
        <w:pStyle w:val="NoSpacing"/>
        <w:numPr>
          <w:ilvl w:val="0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24"/>
        </w:rPr>
      </w:pPr>
      <w:r w:rsidRPr="00DC261A">
        <w:rPr>
          <w:rFonts w:ascii="Bahnschrift Light" w:hAnsi="Bahnschrift Light"/>
          <w:sz w:val="24"/>
        </w:rPr>
        <w:t>Purpose: Estimates the percentage of the loan that will be lost if the borrower defaults.</w:t>
      </w:r>
    </w:p>
    <w:p w:rsidR="00AD2304" w:rsidRPr="00593919" w:rsidRDefault="00AD2304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</w:rPr>
      </w:pPr>
    </w:p>
    <w:p w:rsidR="00C9647A" w:rsidRPr="00DC261A" w:rsidRDefault="00C9647A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Dependent Variable</w:t>
      </w:r>
      <w:r w:rsidR="00AD2304" w:rsidRPr="00DC261A">
        <w:rPr>
          <w:rFonts w:ascii="Bahnschrift Light" w:hAnsi="Bahnschrift Light"/>
          <w:sz w:val="32"/>
          <w:szCs w:val="32"/>
        </w:rPr>
        <w:t xml:space="preserve"> [</w:t>
      </w:r>
      <w:r w:rsidR="00AD2304" w:rsidRPr="00DC261A">
        <w:rPr>
          <w:rFonts w:ascii="Bahnschrift Light" w:hAnsi="Bahnschrift Light"/>
          <w:color w:val="C00000"/>
          <w:sz w:val="32"/>
          <w:szCs w:val="32"/>
        </w:rPr>
        <w:t>the Target</w:t>
      </w:r>
      <w:r w:rsidR="00AD2304" w:rsidRPr="00DC261A">
        <w:rPr>
          <w:rFonts w:ascii="Bahnschrift Light" w:hAnsi="Bahnschrift Light"/>
          <w:sz w:val="32"/>
          <w:szCs w:val="32"/>
        </w:rPr>
        <w:t>]</w:t>
      </w:r>
    </w:p>
    <w:p w:rsidR="00AD2304" w:rsidRPr="00DC261A" w:rsidRDefault="00AD2304" w:rsidP="00AD2304">
      <w:pPr>
        <w:pStyle w:val="NoSpacing"/>
        <w:numPr>
          <w:ilvl w:val="0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LGD (%)</w:t>
      </w:r>
      <w:r w:rsidR="0020065B" w:rsidRPr="00DC261A">
        <w:rPr>
          <w:rFonts w:ascii="Bahnschrift Light" w:hAnsi="Bahnschrift Light"/>
          <w:sz w:val="32"/>
          <w:szCs w:val="32"/>
        </w:rPr>
        <w:t xml:space="preserve"> = Loss after Recovery / Exposure at Default</w:t>
      </w:r>
    </w:p>
    <w:p w:rsidR="0020065B" w:rsidRPr="00DC261A" w:rsidRDefault="0020065B" w:rsidP="0020065B">
      <w:pPr>
        <w:pStyle w:val="NoSpacing"/>
        <w:numPr>
          <w:ilvl w:val="1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Values range from 0 to 100%</w:t>
      </w:r>
    </w:p>
    <w:p w:rsidR="0020065B" w:rsidRPr="00DC261A" w:rsidRDefault="0020065B" w:rsidP="0020065B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</w:p>
    <w:p w:rsidR="0020065B" w:rsidRPr="00DC261A" w:rsidRDefault="0020065B" w:rsidP="0020065B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Independent Variables [</w:t>
      </w:r>
      <w:r w:rsidRPr="00DC261A">
        <w:rPr>
          <w:rFonts w:ascii="Bahnschrift Light" w:hAnsi="Bahnschrift Light"/>
          <w:b/>
          <w:color w:val="538135" w:themeColor="accent6" w:themeShade="BF"/>
          <w:sz w:val="32"/>
          <w:szCs w:val="32"/>
        </w:rPr>
        <w:t>the Predictors</w:t>
      </w:r>
      <w:r w:rsidRPr="00DC261A">
        <w:rPr>
          <w:rFonts w:ascii="Bahnschrift Light" w:hAnsi="Bahnschrift Light"/>
          <w:sz w:val="32"/>
          <w:szCs w:val="32"/>
        </w:rPr>
        <w:t>]</w:t>
      </w:r>
    </w:p>
    <w:p w:rsidR="00593919" w:rsidRPr="00DC261A" w:rsidRDefault="00593919" w:rsidP="00593919">
      <w:pPr>
        <w:pStyle w:val="NoSpacing"/>
        <w:numPr>
          <w:ilvl w:val="0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Collateral Information</w:t>
      </w:r>
    </w:p>
    <w:p w:rsidR="00593919" w:rsidRPr="00DC261A" w:rsidRDefault="00593919" w:rsidP="00593919">
      <w:pPr>
        <w:pStyle w:val="NoSpacing"/>
        <w:numPr>
          <w:ilvl w:val="1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Type of collateral, Loan-to-value (LTV) ratio</w:t>
      </w:r>
    </w:p>
    <w:p w:rsidR="00593919" w:rsidRPr="00DC261A" w:rsidRDefault="00593919" w:rsidP="00593919">
      <w:pPr>
        <w:pStyle w:val="NoSpacing"/>
        <w:numPr>
          <w:ilvl w:val="0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Loan Characteristics</w:t>
      </w:r>
    </w:p>
    <w:p w:rsidR="00593919" w:rsidRPr="00DC261A" w:rsidRDefault="00593919" w:rsidP="00593919">
      <w:pPr>
        <w:pStyle w:val="NoSpacing"/>
        <w:numPr>
          <w:ilvl w:val="1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Secured versus Unsecured, Loan amount, Interest rate</w:t>
      </w:r>
    </w:p>
    <w:p w:rsidR="00593919" w:rsidRPr="00DC261A" w:rsidRDefault="00593919" w:rsidP="00593919">
      <w:pPr>
        <w:pStyle w:val="NoSpacing"/>
        <w:numPr>
          <w:ilvl w:val="0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Borrower Characteristics</w:t>
      </w:r>
    </w:p>
    <w:p w:rsidR="00E614DD" w:rsidRPr="00DC261A" w:rsidRDefault="00E614DD" w:rsidP="00E614DD">
      <w:pPr>
        <w:pStyle w:val="NoSpacing"/>
        <w:numPr>
          <w:ilvl w:val="1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Credit score, Financial health indicators</w:t>
      </w:r>
    </w:p>
    <w:p w:rsidR="00E614DD" w:rsidRPr="00DC261A" w:rsidRDefault="00E614DD" w:rsidP="00E614DD">
      <w:pPr>
        <w:pStyle w:val="NoSpacing"/>
        <w:numPr>
          <w:ilvl w:val="0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Macroeconomic Conditions</w:t>
      </w:r>
    </w:p>
    <w:p w:rsidR="00E614DD" w:rsidRPr="00DC261A" w:rsidRDefault="00E614DD" w:rsidP="00E614DD">
      <w:pPr>
        <w:pStyle w:val="NoSpacing"/>
        <w:numPr>
          <w:ilvl w:val="1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Housing market trends, Recovery rates</w:t>
      </w:r>
    </w:p>
    <w:p w:rsidR="00923A9E" w:rsidRDefault="00923A9E">
      <w:pPr>
        <w:rPr>
          <w:rFonts w:ascii="Bahnschrift Light" w:hAnsi="Bahnschrift Light"/>
          <w:color w:val="0070C0"/>
        </w:rPr>
      </w:pPr>
      <w:r>
        <w:rPr>
          <w:rFonts w:ascii="Bahnschrift Light" w:hAnsi="Bahnschrift Light"/>
          <w:color w:val="0070C0"/>
        </w:rPr>
        <w:br w:type="page"/>
      </w:r>
    </w:p>
    <w:p w:rsidR="00593919" w:rsidRPr="00DC261A" w:rsidRDefault="00593919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color w:val="0070C0"/>
          <w:sz w:val="32"/>
          <w:szCs w:val="32"/>
        </w:rPr>
      </w:pPr>
      <w:r w:rsidRPr="00DC261A">
        <w:rPr>
          <w:rFonts w:ascii="Bahnschrift Light" w:hAnsi="Bahnschrift Light"/>
          <w:color w:val="0070C0"/>
          <w:sz w:val="32"/>
          <w:szCs w:val="32"/>
        </w:rPr>
        <w:lastRenderedPageBreak/>
        <w:t>3. Exposure at Default (EAD) Model</w:t>
      </w:r>
    </w:p>
    <w:p w:rsidR="00593919" w:rsidRPr="00DC261A" w:rsidRDefault="00593919" w:rsidP="00DC261A">
      <w:pPr>
        <w:pStyle w:val="NoSpacing"/>
        <w:numPr>
          <w:ilvl w:val="0"/>
          <w:numId w:val="5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24"/>
        </w:rPr>
      </w:pPr>
      <w:r w:rsidRPr="00DC261A">
        <w:rPr>
          <w:rFonts w:ascii="Bahnschrift Light" w:hAnsi="Bahnschrift Light"/>
          <w:sz w:val="24"/>
        </w:rPr>
        <w:t>Purpose: Estim</w:t>
      </w:r>
      <w:r w:rsidR="00892E14" w:rsidRPr="00DC261A">
        <w:rPr>
          <w:rFonts w:ascii="Bahnschrift Light" w:hAnsi="Bahnschrift Light"/>
          <w:sz w:val="24"/>
        </w:rPr>
        <w:t>ate the total exposure a bank will have at the time of default</w:t>
      </w:r>
    </w:p>
    <w:p w:rsidR="001E11A0" w:rsidRDefault="001E11A0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</w:rPr>
      </w:pPr>
    </w:p>
    <w:p w:rsidR="001E11A0" w:rsidRPr="00DC261A" w:rsidRDefault="001E11A0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Dependent Variable [</w:t>
      </w:r>
      <w:r w:rsidRPr="00DC261A">
        <w:rPr>
          <w:rFonts w:ascii="Bahnschrift Light" w:hAnsi="Bahnschrift Light"/>
          <w:color w:val="C00000"/>
          <w:sz w:val="32"/>
          <w:szCs w:val="32"/>
        </w:rPr>
        <w:t>the Target</w:t>
      </w:r>
      <w:r w:rsidRPr="00DC261A">
        <w:rPr>
          <w:rFonts w:ascii="Bahnschrift Light" w:hAnsi="Bahnschrift Light"/>
          <w:sz w:val="32"/>
          <w:szCs w:val="32"/>
        </w:rPr>
        <w:t>]</w:t>
      </w:r>
    </w:p>
    <w:p w:rsidR="001E11A0" w:rsidRPr="00DC261A" w:rsidRDefault="001E11A0" w:rsidP="001E11A0">
      <w:pPr>
        <w:pStyle w:val="NoSpacing"/>
        <w:numPr>
          <w:ilvl w:val="0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EAD (Monetary Value)</w:t>
      </w:r>
    </w:p>
    <w:p w:rsidR="001E11A0" w:rsidRPr="00DC261A" w:rsidRDefault="001E11A0" w:rsidP="001E11A0">
      <w:pPr>
        <w:pStyle w:val="NoSpacing"/>
        <w:numPr>
          <w:ilvl w:val="1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The Outstanding balance + Potential future drawdowns</w:t>
      </w:r>
    </w:p>
    <w:p w:rsidR="00184760" w:rsidRDefault="00184760" w:rsidP="00184760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</w:p>
    <w:p w:rsidR="001E11A0" w:rsidRPr="00DC261A" w:rsidRDefault="001E11A0" w:rsidP="00184760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Independe</w:t>
      </w:r>
      <w:bookmarkStart w:id="0" w:name="_GoBack"/>
      <w:bookmarkEnd w:id="0"/>
      <w:r w:rsidRPr="00DC261A">
        <w:rPr>
          <w:rFonts w:ascii="Bahnschrift Light" w:hAnsi="Bahnschrift Light"/>
          <w:sz w:val="32"/>
          <w:szCs w:val="32"/>
        </w:rPr>
        <w:t>nt Variables [</w:t>
      </w:r>
      <w:r w:rsidRPr="00DC261A">
        <w:rPr>
          <w:rFonts w:ascii="Bahnschrift Light" w:hAnsi="Bahnschrift Light"/>
          <w:b/>
          <w:color w:val="538135" w:themeColor="accent6" w:themeShade="BF"/>
          <w:sz w:val="32"/>
          <w:szCs w:val="32"/>
        </w:rPr>
        <w:t>the Predictors</w:t>
      </w:r>
      <w:r w:rsidRPr="00DC261A">
        <w:rPr>
          <w:rFonts w:ascii="Bahnschrift Light" w:hAnsi="Bahnschrift Light"/>
          <w:sz w:val="32"/>
          <w:szCs w:val="32"/>
        </w:rPr>
        <w:t>]</w:t>
      </w:r>
    </w:p>
    <w:p w:rsidR="001E11A0" w:rsidRPr="00DC261A" w:rsidRDefault="001E11A0" w:rsidP="00184760">
      <w:pPr>
        <w:pStyle w:val="NoSpacing"/>
        <w:numPr>
          <w:ilvl w:val="0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Loan and Credit Features</w:t>
      </w:r>
    </w:p>
    <w:p w:rsidR="001E11A0" w:rsidRPr="00DC261A" w:rsidRDefault="001E11A0" w:rsidP="00184760">
      <w:pPr>
        <w:pStyle w:val="NoSpacing"/>
        <w:numPr>
          <w:ilvl w:val="1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Credit limit, Utilization rate, Loan type</w:t>
      </w:r>
    </w:p>
    <w:p w:rsidR="001E11A0" w:rsidRPr="00DC261A" w:rsidRDefault="001E11A0" w:rsidP="00184760">
      <w:pPr>
        <w:pStyle w:val="NoSpacing"/>
        <w:numPr>
          <w:ilvl w:val="0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Borrower Behavior</w:t>
      </w:r>
    </w:p>
    <w:p w:rsidR="001E11A0" w:rsidRPr="00DC261A" w:rsidRDefault="001E11A0" w:rsidP="00184760">
      <w:pPr>
        <w:pStyle w:val="NoSpacing"/>
        <w:numPr>
          <w:ilvl w:val="1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Past usage patterns, Repayment behavior</w:t>
      </w:r>
    </w:p>
    <w:p w:rsidR="001E11A0" w:rsidRPr="00DC261A" w:rsidRDefault="001E11A0" w:rsidP="00184760">
      <w:pPr>
        <w:pStyle w:val="NoSpacing"/>
        <w:numPr>
          <w:ilvl w:val="0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Macroeconomic Factors</w:t>
      </w:r>
    </w:p>
    <w:p w:rsidR="001E11A0" w:rsidRPr="00DC261A" w:rsidRDefault="001E11A0" w:rsidP="00184760">
      <w:pPr>
        <w:pStyle w:val="NoSpacing"/>
        <w:numPr>
          <w:ilvl w:val="1"/>
          <w:numId w:val="4"/>
        </w:numPr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  <w:sz w:val="32"/>
          <w:szCs w:val="32"/>
        </w:rPr>
      </w:pPr>
      <w:r w:rsidRPr="00DC261A">
        <w:rPr>
          <w:rFonts w:ascii="Bahnschrift Light" w:hAnsi="Bahnschrift Light"/>
          <w:sz w:val="32"/>
          <w:szCs w:val="32"/>
        </w:rPr>
        <w:t>Interest rate trends, Economic downturn risk</w:t>
      </w:r>
    </w:p>
    <w:p w:rsidR="00892E14" w:rsidRDefault="00892E14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</w:rPr>
      </w:pPr>
    </w:p>
    <w:p w:rsidR="00E807FD" w:rsidRDefault="00E807FD" w:rsidP="00C9647A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rPr>
          <w:rFonts w:ascii="Bahnschrift Light" w:hAnsi="Bahnschrift Light"/>
        </w:rPr>
      </w:pPr>
    </w:p>
    <w:p w:rsidR="00892E14" w:rsidRPr="00DC261A" w:rsidRDefault="00892E14" w:rsidP="00DC261A">
      <w:pPr>
        <w:rPr>
          <w:rFonts w:ascii="Bahnschrift Light" w:hAnsi="Bahnschrift Light"/>
          <w:color w:val="0070C0"/>
          <w:sz w:val="28"/>
        </w:rPr>
      </w:pPr>
      <w:r w:rsidRPr="00DC261A">
        <w:rPr>
          <w:rFonts w:ascii="Bahnschrift Light" w:hAnsi="Bahnschrift Light"/>
          <w:color w:val="0070C0"/>
          <w:sz w:val="28"/>
        </w:rPr>
        <w:t>Summary</w:t>
      </w:r>
    </w:p>
    <w:p w:rsidR="00892E14" w:rsidRPr="00E807FD" w:rsidRDefault="00E807FD" w:rsidP="004F2DF0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  <w:tab w:val="left" w:pos="1728"/>
          <w:tab w:val="left" w:pos="2016"/>
          <w:tab w:val="left" w:pos="2304"/>
          <w:tab w:val="left" w:pos="2592"/>
          <w:tab w:val="left" w:pos="2880"/>
          <w:tab w:val="left" w:pos="3168"/>
          <w:tab w:val="left" w:pos="3456"/>
          <w:tab w:val="left" w:pos="3744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</w:tabs>
        <w:spacing w:line="360" w:lineRule="auto"/>
        <w:rPr>
          <w:rFonts w:ascii="Roboto Light" w:hAnsi="Roboto Light"/>
          <w:b/>
        </w:rPr>
      </w:pPr>
      <w:r w:rsidRPr="00E807FD">
        <w:rPr>
          <w:rFonts w:ascii="Roboto Light" w:hAnsi="Roboto Light"/>
          <w:b/>
        </w:rPr>
        <w:tab/>
      </w:r>
      <w:r w:rsidRPr="00E807FD">
        <w:rPr>
          <w:rFonts w:ascii="Roboto Light" w:hAnsi="Roboto Light"/>
          <w:b/>
        </w:rPr>
        <w:tab/>
      </w:r>
      <w:r w:rsidRPr="00E807FD">
        <w:rPr>
          <w:rFonts w:ascii="Roboto Light" w:hAnsi="Roboto Light"/>
          <w:b/>
        </w:rPr>
        <w:tab/>
      </w:r>
      <w:r w:rsidR="00892E14" w:rsidRPr="00E807FD">
        <w:rPr>
          <w:rFonts w:ascii="Roboto Light" w:hAnsi="Roboto Light"/>
          <w:b/>
        </w:rPr>
        <w:t>Model</w:t>
      </w:r>
      <w:r w:rsidR="00923A9E" w:rsidRPr="00E807FD">
        <w:rPr>
          <w:rFonts w:ascii="Roboto Light" w:hAnsi="Roboto Light"/>
          <w:b/>
        </w:rPr>
        <w:tab/>
      </w:r>
      <w:r w:rsidR="00923A9E" w:rsidRPr="00E807FD">
        <w:rPr>
          <w:rFonts w:ascii="Roboto Light" w:hAnsi="Roboto Light"/>
          <w:b/>
        </w:rPr>
        <w:tab/>
      </w:r>
      <w:r w:rsidR="00923A9E" w:rsidRPr="00E807FD">
        <w:rPr>
          <w:rFonts w:ascii="Roboto Light" w:hAnsi="Roboto Light"/>
          <w:b/>
        </w:rPr>
        <w:tab/>
      </w:r>
      <w:r w:rsidR="00923A9E" w:rsidRPr="00E807FD">
        <w:rPr>
          <w:rFonts w:ascii="Roboto Light" w:hAnsi="Roboto Light"/>
          <w:b/>
          <w:color w:val="C00000"/>
        </w:rPr>
        <w:t>Dependent</w:t>
      </w:r>
      <w:r w:rsidR="00923A9E" w:rsidRPr="00E807FD">
        <w:rPr>
          <w:rFonts w:ascii="Roboto Light" w:hAnsi="Roboto Light"/>
          <w:b/>
        </w:rPr>
        <w:t xml:space="preserve"> Variable</w:t>
      </w:r>
      <w:r w:rsidRPr="00E807FD">
        <w:rPr>
          <w:rFonts w:ascii="Roboto Light" w:hAnsi="Roboto Light"/>
          <w:b/>
        </w:rPr>
        <w:tab/>
      </w:r>
      <w:r w:rsidRPr="00E807FD">
        <w:rPr>
          <w:rFonts w:ascii="Roboto Light" w:hAnsi="Roboto Light"/>
          <w:b/>
        </w:rPr>
        <w:tab/>
      </w:r>
      <w:r>
        <w:rPr>
          <w:rFonts w:ascii="Roboto Light" w:hAnsi="Roboto Light"/>
          <w:b/>
        </w:rPr>
        <w:tab/>
      </w:r>
      <w:r w:rsidRPr="00E807FD">
        <w:rPr>
          <w:rFonts w:ascii="Roboto Light" w:hAnsi="Roboto Light"/>
          <w:b/>
        </w:rPr>
        <w:t xml:space="preserve">Key </w:t>
      </w:r>
      <w:r w:rsidRPr="00E807FD">
        <w:rPr>
          <w:rFonts w:ascii="Roboto Light" w:hAnsi="Roboto Light"/>
          <w:b/>
          <w:color w:val="538135" w:themeColor="accent6" w:themeShade="BF"/>
        </w:rPr>
        <w:t>Independent</w:t>
      </w:r>
      <w:r w:rsidRPr="00E807FD">
        <w:rPr>
          <w:rFonts w:ascii="Roboto Light" w:hAnsi="Roboto Light"/>
          <w:b/>
        </w:rPr>
        <w:t xml:space="preserve"> Variables</w:t>
      </w:r>
    </w:p>
    <w:p w:rsidR="00892E14" w:rsidRPr="00DC261A" w:rsidRDefault="00892E14" w:rsidP="004F2DF0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spacing w:line="360" w:lineRule="auto"/>
        <w:rPr>
          <w:rFonts w:ascii="Bahnschrift Light" w:hAnsi="Bahnschrift Light"/>
          <w:sz w:val="24"/>
        </w:rPr>
      </w:pPr>
      <w:r w:rsidRPr="00DC261A">
        <w:rPr>
          <w:rFonts w:ascii="Bahnschrift Light" w:hAnsi="Bahnschrift Light"/>
          <w:sz w:val="24"/>
        </w:rPr>
        <w:t xml:space="preserve">  </w:t>
      </w:r>
      <w:r w:rsidRPr="00DC261A">
        <w:rPr>
          <w:rFonts w:ascii="Bahnschrift Light" w:hAnsi="Bahnschrift Light"/>
          <w:color w:val="404040" w:themeColor="text1" w:themeTint="BF"/>
          <w:sz w:val="24"/>
        </w:rPr>
        <w:t>PD Model</w:t>
      </w:r>
      <w:r w:rsidR="00E807FD" w:rsidRPr="00DC261A">
        <w:rPr>
          <w:rFonts w:ascii="Bahnschrift Light" w:hAnsi="Bahnschrift Light"/>
          <w:sz w:val="24"/>
        </w:rPr>
        <w:tab/>
      </w:r>
      <w:r w:rsidR="00E807FD" w:rsidRPr="00DC261A">
        <w:rPr>
          <w:rFonts w:ascii="Bahnschrift Light" w:hAnsi="Bahnschrift Light"/>
          <w:sz w:val="24"/>
        </w:rPr>
        <w:tab/>
      </w:r>
      <w:r w:rsidR="00E807FD" w:rsidRPr="00DC261A">
        <w:rPr>
          <w:rFonts w:ascii="Bahnschrift Light" w:hAnsi="Bahnschrift Light"/>
          <w:sz w:val="24"/>
        </w:rPr>
        <w:tab/>
        <w:t xml:space="preserve">Default </w:t>
      </w:r>
      <w:proofErr w:type="gramStart"/>
      <w:r w:rsidR="00E807FD" w:rsidRPr="00DC261A">
        <w:rPr>
          <w:rFonts w:ascii="Bahnschrift Light" w:hAnsi="Bahnschrift Light"/>
          <w:sz w:val="24"/>
        </w:rPr>
        <w:t>( 0</w:t>
      </w:r>
      <w:proofErr w:type="gramEnd"/>
      <w:r w:rsidR="00E807FD" w:rsidRPr="00DC261A">
        <w:rPr>
          <w:rFonts w:ascii="Bahnschrift Light" w:hAnsi="Bahnschrift Light"/>
          <w:sz w:val="24"/>
        </w:rPr>
        <w:t xml:space="preserve"> or 1 )</w:t>
      </w:r>
      <w:r w:rsidR="00E807FD" w:rsidRPr="00DC261A">
        <w:rPr>
          <w:rFonts w:ascii="Bahnschrift Light" w:hAnsi="Bahnschrift Light"/>
          <w:sz w:val="24"/>
        </w:rPr>
        <w:tab/>
      </w:r>
      <w:r w:rsidR="00E807FD" w:rsidRPr="00DC261A">
        <w:rPr>
          <w:rFonts w:ascii="Bahnschrift Light" w:hAnsi="Bahnschrift Light"/>
          <w:sz w:val="24"/>
        </w:rPr>
        <w:tab/>
      </w:r>
      <w:r w:rsidR="00E807FD" w:rsidRPr="00DC261A">
        <w:rPr>
          <w:rFonts w:ascii="Bahnschrift Light" w:hAnsi="Bahnschrift Light"/>
          <w:sz w:val="24"/>
        </w:rPr>
        <w:tab/>
      </w:r>
      <w:r w:rsidR="00E807FD" w:rsidRPr="00DC261A">
        <w:rPr>
          <w:rFonts w:ascii="Bahnschrift Light" w:hAnsi="Bahnschrift Light"/>
          <w:sz w:val="24"/>
        </w:rPr>
        <w:tab/>
        <w:t>Credit score,  Loan amount,  Missed payments,  Economic conditions</w:t>
      </w:r>
    </w:p>
    <w:p w:rsidR="00892E14" w:rsidRPr="00DC261A" w:rsidRDefault="00892E14" w:rsidP="004F2DF0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spacing w:line="360" w:lineRule="auto"/>
        <w:rPr>
          <w:rFonts w:ascii="Bahnschrift Light" w:hAnsi="Bahnschrift Light"/>
          <w:sz w:val="24"/>
        </w:rPr>
      </w:pPr>
      <w:r w:rsidRPr="00DC261A">
        <w:rPr>
          <w:rFonts w:ascii="Bahnschrift Light" w:hAnsi="Bahnschrift Light"/>
          <w:color w:val="404040" w:themeColor="text1" w:themeTint="BF"/>
          <w:sz w:val="24"/>
        </w:rPr>
        <w:t>LGD Model</w:t>
      </w:r>
      <w:r w:rsidR="00E807FD" w:rsidRPr="00DC261A">
        <w:rPr>
          <w:rFonts w:ascii="Bahnschrift Light" w:hAnsi="Bahnschrift Light"/>
          <w:sz w:val="24"/>
        </w:rPr>
        <w:tab/>
      </w:r>
      <w:r w:rsidR="00E807FD" w:rsidRPr="00DC261A">
        <w:rPr>
          <w:rFonts w:ascii="Bahnschrift Light" w:hAnsi="Bahnschrift Light"/>
          <w:sz w:val="24"/>
        </w:rPr>
        <w:tab/>
        <w:t>% Loss Given Default</w:t>
      </w:r>
      <w:r w:rsidR="00E807FD" w:rsidRPr="00DC261A">
        <w:rPr>
          <w:rFonts w:ascii="Bahnschrift Light" w:hAnsi="Bahnschrift Light"/>
          <w:sz w:val="24"/>
        </w:rPr>
        <w:tab/>
      </w:r>
      <w:r w:rsidR="00E807FD" w:rsidRPr="00DC261A">
        <w:rPr>
          <w:rFonts w:ascii="Bahnschrift Light" w:hAnsi="Bahnschrift Light"/>
          <w:sz w:val="24"/>
        </w:rPr>
        <w:tab/>
        <w:t xml:space="preserve">Collateral </w:t>
      </w:r>
      <w:proofErr w:type="gramStart"/>
      <w:r w:rsidR="00E807FD" w:rsidRPr="00DC261A">
        <w:rPr>
          <w:rFonts w:ascii="Bahnschrift Light" w:hAnsi="Bahnschrift Light"/>
          <w:sz w:val="24"/>
        </w:rPr>
        <w:t>types,  LTV</w:t>
      </w:r>
      <w:proofErr w:type="gramEnd"/>
      <w:r w:rsidR="00E807FD" w:rsidRPr="00DC261A">
        <w:rPr>
          <w:rFonts w:ascii="Bahnschrift Light" w:hAnsi="Bahnschrift Light"/>
          <w:sz w:val="24"/>
        </w:rPr>
        <w:t xml:space="preserve"> ratio,  Recovery rate,  Loan Features</w:t>
      </w:r>
    </w:p>
    <w:p w:rsidR="00892E14" w:rsidRPr="00DC261A" w:rsidRDefault="00892E14" w:rsidP="004F2DF0">
      <w:pPr>
        <w:pStyle w:val="NoSpacing"/>
        <w:tabs>
          <w:tab w:val="left" w:pos="144"/>
          <w:tab w:val="left" w:pos="288"/>
          <w:tab w:val="left" w:pos="432"/>
          <w:tab w:val="left" w:pos="576"/>
          <w:tab w:val="left" w:pos="720"/>
          <w:tab w:val="left" w:pos="864"/>
          <w:tab w:val="left" w:pos="1008"/>
          <w:tab w:val="left" w:pos="1152"/>
          <w:tab w:val="left" w:pos="1296"/>
          <w:tab w:val="left" w:pos="1440"/>
        </w:tabs>
        <w:spacing w:line="360" w:lineRule="auto"/>
        <w:rPr>
          <w:rFonts w:ascii="Bahnschrift Light" w:hAnsi="Bahnschrift Light"/>
          <w:sz w:val="24"/>
        </w:rPr>
      </w:pPr>
      <w:r w:rsidRPr="00DC261A">
        <w:rPr>
          <w:rFonts w:ascii="Bahnschrift Light" w:hAnsi="Bahnschrift Light"/>
          <w:color w:val="404040" w:themeColor="text1" w:themeTint="BF"/>
          <w:sz w:val="24"/>
        </w:rPr>
        <w:t>EAD Model</w:t>
      </w:r>
      <w:r w:rsidR="00E807FD" w:rsidRPr="00DC261A">
        <w:rPr>
          <w:rFonts w:ascii="Bahnschrift Light" w:hAnsi="Bahnschrift Light"/>
          <w:sz w:val="24"/>
        </w:rPr>
        <w:tab/>
      </w:r>
      <w:r w:rsidR="00E807FD" w:rsidRPr="00DC261A">
        <w:rPr>
          <w:rFonts w:ascii="Bahnschrift Light" w:hAnsi="Bahnschrift Light"/>
          <w:sz w:val="24"/>
        </w:rPr>
        <w:tab/>
        <w:t>Amount at Default</w:t>
      </w:r>
      <w:r w:rsidR="00E807FD" w:rsidRPr="00DC261A">
        <w:rPr>
          <w:rFonts w:ascii="Bahnschrift Light" w:hAnsi="Bahnschrift Light"/>
          <w:sz w:val="24"/>
        </w:rPr>
        <w:tab/>
      </w:r>
      <w:r w:rsidR="00E807FD" w:rsidRPr="00DC261A">
        <w:rPr>
          <w:rFonts w:ascii="Bahnschrift Light" w:hAnsi="Bahnschrift Light"/>
          <w:sz w:val="24"/>
        </w:rPr>
        <w:tab/>
      </w:r>
      <w:r w:rsidR="00E807FD" w:rsidRPr="00DC261A">
        <w:rPr>
          <w:rFonts w:ascii="Bahnschrift Light" w:hAnsi="Bahnschrift Light"/>
          <w:sz w:val="24"/>
        </w:rPr>
        <w:tab/>
        <w:t xml:space="preserve">Credit </w:t>
      </w:r>
      <w:proofErr w:type="gramStart"/>
      <w:r w:rsidR="00E807FD" w:rsidRPr="00DC261A">
        <w:rPr>
          <w:rFonts w:ascii="Bahnschrift Light" w:hAnsi="Bahnschrift Light"/>
          <w:sz w:val="24"/>
        </w:rPr>
        <w:t>limit,  Utilization</w:t>
      </w:r>
      <w:proofErr w:type="gramEnd"/>
      <w:r w:rsidR="00E807FD" w:rsidRPr="00DC261A">
        <w:rPr>
          <w:rFonts w:ascii="Bahnschrift Light" w:hAnsi="Bahnschrift Light"/>
          <w:sz w:val="24"/>
        </w:rPr>
        <w:t xml:space="preserve"> rate,  Repayment history</w:t>
      </w:r>
    </w:p>
    <w:sectPr w:rsidR="00892E14" w:rsidRPr="00DC261A" w:rsidSect="00593919">
      <w:pgSz w:w="11906" w:h="8391" w:orient="landscape" w:code="11"/>
      <w:pgMar w:top="72" w:right="72" w:bottom="72" w:left="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185814"/>
    <w:multiLevelType w:val="hybridMultilevel"/>
    <w:tmpl w:val="6CCEA9B2"/>
    <w:lvl w:ilvl="0" w:tplc="62EA40D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763CA7"/>
    <w:multiLevelType w:val="hybridMultilevel"/>
    <w:tmpl w:val="48E27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E2ADC"/>
    <w:multiLevelType w:val="hybridMultilevel"/>
    <w:tmpl w:val="BFBE8EA0"/>
    <w:lvl w:ilvl="0" w:tplc="62EA40D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213EE"/>
    <w:multiLevelType w:val="hybridMultilevel"/>
    <w:tmpl w:val="A74CB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973BF3"/>
    <w:multiLevelType w:val="hybridMultilevel"/>
    <w:tmpl w:val="F5E04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28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5DA"/>
    <w:rsid w:val="00184760"/>
    <w:rsid w:val="001A4FFC"/>
    <w:rsid w:val="001E11A0"/>
    <w:rsid w:val="0020065B"/>
    <w:rsid w:val="004F2DF0"/>
    <w:rsid w:val="00593919"/>
    <w:rsid w:val="006869C7"/>
    <w:rsid w:val="007135DA"/>
    <w:rsid w:val="00892E14"/>
    <w:rsid w:val="00923A9E"/>
    <w:rsid w:val="00A43168"/>
    <w:rsid w:val="00AB38DB"/>
    <w:rsid w:val="00AD2304"/>
    <w:rsid w:val="00C72EE6"/>
    <w:rsid w:val="00C9647A"/>
    <w:rsid w:val="00DC261A"/>
    <w:rsid w:val="00E614DD"/>
    <w:rsid w:val="00E807FD"/>
    <w:rsid w:val="00ED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5E1B9"/>
  <w15:chartTrackingRefBased/>
  <w15:docId w15:val="{BE5C3D2E-4499-4696-BFA8-A98CDC4C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35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SSBlue</dc:creator>
  <cp:keywords/>
  <dc:description/>
  <cp:lastModifiedBy>SSBlue</cp:lastModifiedBy>
  <cp:revision>13</cp:revision>
  <dcterms:created xsi:type="dcterms:W3CDTF">2025-11-14T19:48:00Z</dcterms:created>
  <dcterms:modified xsi:type="dcterms:W3CDTF">2025-11-14T23:07:00Z</dcterms:modified>
</cp:coreProperties>
</file>