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Arbitrage Fund Analyser – v0 Spec</w:t>
      </w:r>
    </w:p>
    <w:p>
      <w:pPr/>
      <w:r>
        <w:t xml:space="preserve">Oct 7, 2026 · updated Oct 30, 2026 · @Nikhil</w:t>
      </w:r>
    </w:p>
    <w:p>
      <w:pPr>
        <w:pStyle w:val="Heading2"/>
      </w:pPr>
      <w:r>
        <w:t xml:space="preserve">Goal and scope</w:t>
      </w:r>
    </w:p>
    <w:p>
      <w:pPr/>
      <w:r>
        <w:t xml:space="preserve">v0 is an internal tool that compares arbitrage funds on returns, costs and size, against the benchmark.</w:t>
      </w:r>
    </w:p>
    <w:p>
      <w:pPr>
        <w:pStyle w:val="ListParagraph"/>
        <w:numPr>
          <w:ilvl w:val="0"/>
          <w:numId w:val="2"/>
        </w:numPr>
      </w:pPr>
      <w:r>
        <w:rPr>
          <w:b/>
        </w:rPr>
        <w:t xml:space="preserve">Users:</w:t>
      </w:r>
      <w:r>
        <w:t xml:space="preserve"> internal only. Runs on Streamlit Cloud (quantifiers-mutualfund-analysis.streamlit.app).</w:t>
      </w:r>
    </w:p>
    <w:p>
      <w:pPr>
        <w:pStyle w:val="ListParagraph"/>
        <w:numPr>
          <w:ilvl w:val="0"/>
          <w:numId w:val="2"/>
        </w:numPr>
      </w:pPr>
      <w:r>
        <w:rPr>
          <w:b/>
        </w:rPr>
        <w:t xml:space="preserve">Funds:</w:t>
      </w:r>
      <w:r>
        <w:t xml:space="preserve"> 8 arbitrage funds, direct growth plans. Kotak, SBI, ICICI Pru, Invesco, ABSL, Tata, Nippon, Edelweiss.</w:t>
      </w:r>
    </w:p>
    <w:p>
      <w:pPr>
        <w:pStyle w:val="ListParagraph"/>
        <w:numPr>
          <w:ilvl w:val="0"/>
          <w:numId w:val="2"/>
        </w:numPr>
      </w:pPr>
      <w:r>
        <w:rPr>
          <w:b/>
        </w:rPr>
        <w:t xml:space="preserve">History:</w:t>
      </w:r>
      <w:r>
        <w:t xml:space="preserve"> from 01-Jan-2019.</w:t>
      </w:r>
    </w:p>
    <w:p>
      <w:pPr>
        <w:pStyle w:val="ListParagraph"/>
        <w:numPr>
          <w:ilvl w:val="0"/>
          <w:numId w:val="2"/>
        </w:numPr>
      </w:pPr>
      <w:r>
        <w:rPr>
          <w:b/>
        </w:rPr>
        <w:t xml:space="preserve">Chatbot:</w:t>
      </w:r>
      <w:r>
        <w:t xml:space="preserve"> “Ask the analyst” tab answers from stored data. Factsheet search is planned (see below).</w:t>
      </w:r>
    </w:p>
    <w:p>
      <w:pPr>
        <w:pStyle w:val="ListParagraph"/>
        <w:numPr>
          <w:ilvl w:val="0"/>
          <w:numId w:val="2"/>
        </w:numPr>
      </w:pPr>
      <w:r>
        <w:rPr>
          <w:b/>
        </w:rPr>
        <w:t xml:space="preserve">Later:</w:t>
      </w:r>
      <w:r>
        <w:t xml:space="preserve"> other fund categories, external users. The design must not block these.</w:t>
      </w:r>
    </w:p>
    <w:p>
      <w:pPr>
        <w:pStyle w:val="Heading2"/>
      </w:pPr>
      <w:r>
        <w:t xml:space="preserve">Data sources</w:t>
      </w:r>
    </w:p>
    <w:p>
      <w:pPr/>
      <w:r>
        <w:t xml:space="preserve">Fund data is fetched by a scheduled job and kept as CSV files in the repository. Only the benchmark and config fields are manual. The AMFI code links every dataset.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Source</w:t>
            </w:r>
          </w:p>
        </w:tc>
        <w:tc>
          <w:tcPr>
            <w:tcW w:w="2340" w:type="dxa"/>
            <w:shd w:val="clear" w:color="auto" w:fill="F2F2F2"/>
          </w:tcPr>
          <w:p>
            <w:pPr/>
            <w:r>
              <w:t xml:space="preserve">Frequency</w:t>
            </w:r>
          </w:p>
        </w:tc>
        <w:tc>
          <w:tcPr>
            <w:tcW w:w="2340" w:type="dxa"/>
            <w:shd w:val="clear" w:color="auto" w:fill="F2F2F2"/>
          </w:tcPr>
          <w:p>
            <w:pPr/>
            <w:r>
              <w:t xml:space="preserve">How</w:t>
            </w:r>
          </w:p>
        </w:tc>
      </w:tr>
      <w:tr>
        <w:tc>
          <w:tcPr>
            <w:tcW w:w="2340" w:type="dxa"/>
          </w:tcPr>
          <w:p>
            <w:pPr/>
            <w:r>
              <w:t xml:space="preserve">Daily NAV</w:t>
            </w:r>
          </w:p>
        </w:tc>
        <w:tc>
          <w:tcPr>
            <w:tcW w:w="2340" w:type="dxa"/>
          </w:tcPr>
          <w:p>
            <w:pPr/>
            <w:r>
              <w:t xml:space="preserve">mfapi.in (republishes AMFI data)</w:t>
            </w:r>
          </w:p>
        </w:tc>
        <w:tc>
          <w:tcPr>
            <w:tcW w:w="2340" w:type="dxa"/>
          </w:tcPr>
          <w:p>
            <w:pPr/>
            <w:r>
              <w:t xml:space="preserve">Daily</w:t>
            </w:r>
          </w:p>
        </w:tc>
        <w:tc>
          <w:tcPr>
            <w:tcW w:w="2340" w:type="dxa"/>
          </w:tcPr>
          <w:p>
            <w:pPr/>
            <w:r>
              <w:t xml:space="preserve">Automated</w:t>
            </w:r>
          </w:p>
        </w:tc>
      </w:tr>
      <w:tr>
        <w:tc>
          <w:tcPr>
            <w:tcW w:w="2340" w:type="dxa"/>
          </w:tcPr>
          <w:p>
            <w:pPr/>
            <w:r>
              <w:t xml:space="preserve">TER breakdown (base, brokerage, transaction, levies, total)</w:t>
            </w:r>
          </w:p>
        </w:tc>
        <w:tc>
          <w:tcPr>
            <w:tcW w:w="2340" w:type="dxa"/>
          </w:tcPr>
          <w:p>
            <w:pPr/>
            <w:hyperlink r:id="rId3" w:history="1">
              <w:r>
                <w:rPr>
                  <w:rStyle w:val="Hyperlink"/>
                </w:rPr>
                <w:t xml:space="preserve">AMFI TER page</w:t>
              </w:r>
            </w:hyperlink>
          </w:p>
        </w:tc>
        <w:tc>
          <w:tcPr>
            <w:tcW w:w="2340" w:type="dxa"/>
          </w:tcPr>
          <w:p>
            <w:pPr/>
            <w:r>
              <w:t xml:space="preserve">Daily job</w:t>
            </w:r>
          </w:p>
        </w:tc>
        <w:tc>
          <w:tcPr>
            <w:tcW w:w="2340" w:type="dxa"/>
          </w:tcPr>
          <w:p>
            <w:pPr/>
            <w:r>
              <w:t xml:space="preserve">Automated</w:t>
            </w:r>
          </w:p>
        </w:tc>
      </w:tr>
      <w:tr>
        <w:tc>
          <w:tcPr>
            <w:tcW w:w="2340" w:type="dxa"/>
          </w:tcPr>
          <w:p>
            <w:pPr/>
            <w:r>
              <w:t xml:space="preserve">Factsheet values: AUM, AAUM, portfolio turnover, Direct BER</w:t>
            </w:r>
          </w:p>
        </w:tc>
        <w:tc>
          <w:tcPr>
            <w:tcW w:w="2340" w:type="dxa"/>
          </w:tcPr>
          <w:p>
            <w:pPr/>
            <w:r>
              <w:t xml:space="preserve">AMC factsheet PDFs (fund page)</w:t>
            </w:r>
          </w:p>
        </w:tc>
        <w:tc>
          <w:tcPr>
            <w:tcW w:w="2340" w:type="dxa"/>
          </w:tcPr>
          <w:p>
            <w:pPr/>
            <w:r>
              <w:t xml:space="preserve">Monthly (job on 12th, 18th, 25th)</w:t>
            </w:r>
          </w:p>
        </w:tc>
        <w:tc>
          <w:tcPr>
            <w:tcW w:w="2340" w:type="dxa"/>
          </w:tcPr>
          <w:p>
            <w:pPr/>
            <w:r>
              <w:t xml:space="preserve">Automated</w:t>
            </w:r>
          </w:p>
        </w:tc>
      </w:tr>
      <w:tr>
        <w:tc>
          <w:tcPr>
            <w:tcW w:w="2340" w:type="dxa"/>
          </w:tcPr>
          <w:p>
            <w:pPr/>
            <w:r>
              <w:t xml:space="preserve">Launch date</w:t>
            </w:r>
          </w:p>
        </w:tc>
        <w:tc>
          <w:tcPr>
            <w:tcW w:w="2340" w:type="dxa"/>
          </w:tcPr>
          <w:p>
            <w:pPr/>
            <w:r>
              <w:t xml:space="preserve">First date in NAV history</w:t>
            </w:r>
          </w:p>
        </w:tc>
        <w:tc>
          <w:tcPr>
            <w:tcW w:w="2340" w:type="dxa"/>
          </w:tcPr>
          <w:p>
            <w:pPr/>
            <w:r>
              <w:t xml:space="preserve">One-time</w:t>
            </w:r>
          </w:p>
        </w:tc>
        <w:tc>
          <w:tcPr>
            <w:tcW w:w="2340" w:type="dxa"/>
          </w:tcPr>
          <w:p>
            <w:pPr/>
            <w:r>
              <w:t xml:space="preserve">Automated</w:t>
            </w:r>
          </w:p>
        </w:tc>
      </w:tr>
      <w:tr>
        <w:tc>
          <w:tcPr>
            <w:tcW w:w="2340" w:type="dxa"/>
          </w:tcPr>
          <w:p>
            <w:pPr/>
            <w:r>
              <w:t xml:space="preserve">Benchmark: Nifty 50 Arbitrage Index</w:t>
            </w:r>
          </w:p>
        </w:tc>
        <w:tc>
          <w:tcPr>
            <w:tcW w:w="2340" w:type="dxa"/>
          </w:tcPr>
          <w:p>
            <w:pPr/>
            <w:r>
              <w:t xml:space="preserve">niftyindices.com</w:t>
            </w:r>
          </w:p>
        </w:tc>
        <w:tc>
          <w:tcPr>
            <w:tcW w:w="2340" w:type="dxa"/>
          </w:tcPr>
          <w:p>
            <w:pPr/>
            <w:r>
              <w:t xml:space="preserve">Monthly upload</w:t>
            </w:r>
          </w:p>
        </w:tc>
        <w:tc>
          <w:tcPr>
            <w:tcW w:w="2340" w:type="dxa"/>
          </w:tcPr>
          <w:p>
            <w:pPr/>
            <w:r>
              <w:t xml:space="preserve">Manual upload in the app, saved to GitHub</w:t>
            </w:r>
          </w:p>
        </w:tc>
      </w:tr>
      <w:tr>
        <w:tc>
          <w:tcPr>
            <w:tcW w:w="2340" w:type="dxa"/>
          </w:tcPr>
          <w:p>
            <w:pPr/>
            <w:r>
              <w:t xml:space="preserve">Exit load, fund manager</w:t>
            </w:r>
          </w:p>
        </w:tc>
        <w:tc>
          <w:tcPr>
            <w:tcW w:w="2340" w:type="dxa"/>
          </w:tcPr>
          <w:p>
            <w:pPr/>
            <w:r>
              <w:t xml:space="preserve">Config file</w:t>
            </w:r>
          </w:p>
        </w:tc>
        <w:tc>
          <w:tcPr>
            <w:tcW w:w="2340" w:type="dxa"/>
          </w:tcPr>
          <w:p>
            <w:pPr/>
            <w:r>
              <w:t xml:space="preserve">On change</w:t>
            </w:r>
          </w:p>
        </w:tc>
        <w:tc>
          <w:tcPr>
            <w:tcW w:w="2340" w:type="dxa"/>
          </w:tcPr>
          <w:p>
            <w:pPr/>
            <w:r>
              <w:t xml:space="preserve">Manual</w:t>
            </w:r>
          </w:p>
        </w:tc>
      </w:tr>
      <w:tr>
        <w:tc>
          <w:tcPr>
            <w:tcW w:w="2340" w:type="dxa"/>
          </w:tcPr>
          <w:p>
            <w:pPr/>
            <w:r>
              <w:t xml:space="preserve">Fund list, category and AMFI codes</w:t>
            </w:r>
          </w:p>
        </w:tc>
        <w:tc>
          <w:tcPr>
            <w:tcW w:w="2340" w:type="dxa"/>
          </w:tcPr>
          <w:p>
            <w:pPr/>
            <w:r>
              <w:t xml:space="preserve">Config file</w:t>
            </w:r>
          </w:p>
        </w:tc>
        <w:tc>
          <w:tcPr>
            <w:tcW w:w="2340" w:type="dxa"/>
          </w:tcPr>
          <w:p>
            <w:pPr/>
            <w:r>
              <w:t xml:space="preserve">One-time</w:t>
            </w:r>
          </w:p>
        </w:tc>
        <w:tc>
          <w:tcPr>
            <w:tcW w:w="2340" w:type="dxa"/>
          </w:tcPr>
          <w:p>
            <w:pPr/>
            <w:r>
              <w:t xml:space="preserve">Manual</w:t>
            </w:r>
          </w:p>
        </w:tc>
      </w:tr>
    </w:tbl>
    <w:p>
      <w:pPr>
        <w:pStyle w:val="ListParagraph"/>
        <w:numPr>
          <w:ilvl w:val="0"/>
          <w:numId w:val="3"/>
        </w:numPr>
      </w:pPr>
      <w:r>
        <w:t xml:space="preserve">Factsheet AUM and AAUM are in Rs crore. A value the factsheet does not print is left blank, never guessed.</w:t>
      </w:r>
    </w:p>
    <w:p>
      <w:pPr>
        <w:pStyle w:val="ListParagraph"/>
        <w:numPr>
          <w:ilvl w:val="0"/>
          <w:numId w:val="3"/>
        </w:numPr>
      </w:pPr>
      <w:r>
        <w:t xml:space="preserve">Use the same benchmark index version as the factsheets, every time.</w:t>
      </w:r>
    </w:p>
    <w:p>
      <w:pPr>
        <w:pStyle w:val="ListParagraph"/>
        <w:numPr>
          <w:ilvl w:val="0"/>
          <w:numId w:val="3"/>
        </w:numPr>
      </w:pPr>
      <w:r>
        <w:t xml:space="preserve">Resolved during build: AMFI’s NAV history allows only 90 days per download, so NAV comes from mfapi.in, with code, ISIN and plan checked each refresh. TER comes from the data behind the AMFI TER page (Direct Plan). AAUM now comes from factsheets, not the AMFI quarterly file.</w:t>
      </w:r>
    </w:p>
    <w:p>
      <w:pPr>
        <w:pStyle w:val="ListParagraph"/>
        <w:numPr>
          <w:ilvl w:val="0"/>
          <w:numId w:val="3"/>
        </w:numPr>
      </w:pPr>
      <w:r>
        <w:t xml:space="preserve">Known gap: AMFI shows no TER rows for ICICI, SBI and Invesco at present (checked on the AMFI site).</w:t>
      </w:r>
    </w:p>
    <w:p>
      <w:pPr>
        <w:pStyle w:val="Heading2"/>
      </w:pPr>
      <w:r>
        <w:t xml:space="preserve">Data validation</w:t>
      </w:r>
    </w:p>
    <w:p>
      <w:pPr/>
      <w:r>
        <w:t xml:space="preserve">Every load runs these checks. A failed check is flagged on screen, not silently dropped. No separate NAV-vs-price check is needed: for a mutual fund, NAV is the price.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Check</w:t>
            </w:r>
          </w:p>
        </w:tc>
        <w:tc>
          <w:tcPr>
            <w:tcW w:w="3120" w:type="dxa"/>
            <w:shd w:val="clear" w:color="auto" w:fill="F2F2F2"/>
          </w:tcPr>
          <w:p>
            <w:pPr/>
            <w:r>
              <w:t xml:space="preserve">Rule</w:t>
            </w:r>
          </w:p>
        </w:tc>
      </w:tr>
      <w:tr>
        <w:tc>
          <w:tcPr>
            <w:tcW w:w="3120" w:type="dxa"/>
          </w:tcPr>
          <w:p>
            <w:pPr/>
            <w:r>
              <w:t xml:space="preserve">NAV</w:t>
            </w:r>
          </w:p>
        </w:tc>
        <w:tc>
          <w:tcPr>
            <w:tcW w:w="3120" w:type="dxa"/>
          </w:tcPr>
          <w:p>
            <w:pPr/>
            <w:r>
              <w:t xml:space="preserve">Missing dates</w:t>
            </w:r>
          </w:p>
        </w:tc>
        <w:tc>
          <w:tcPr>
            <w:tcW w:w="3120" w:type="dxa"/>
          </w:tcPr>
          <w:p>
            <w:pPr/>
            <w:r>
              <w:t xml:space="preserve">Gap longer than 5 calendar days → flag</w:t>
            </w:r>
          </w:p>
        </w:tc>
      </w:tr>
      <w:tr>
        <w:tc>
          <w:tcPr>
            <w:tcW w:w="3120" w:type="dxa"/>
          </w:tcPr>
          <w:p>
            <w:pPr/>
            <w:r>
              <w:t xml:space="preserve">NAV</w:t>
            </w:r>
          </w:p>
        </w:tc>
        <w:tc>
          <w:tcPr>
            <w:tcW w:w="3120" w:type="dxa"/>
          </w:tcPr>
          <w:p>
            <w:pPr/>
            <w:r>
              <w:t xml:space="preserve">Duplicate dates</w:t>
            </w:r>
          </w:p>
        </w:tc>
        <w:tc>
          <w:tcPr>
            <w:tcW w:w="3120" w:type="dxa"/>
          </w:tcPr>
          <w:p>
            <w:pPr/>
            <w:r>
              <w:t xml:space="preserve">Same date twice → flag</w:t>
            </w:r>
          </w:p>
        </w:tc>
      </w:tr>
      <w:tr>
        <w:tc>
          <w:tcPr>
            <w:tcW w:w="3120" w:type="dxa"/>
          </w:tcPr>
          <w:p>
            <w:pPr/>
            <w:r>
              <w:t xml:space="preserve">NAV</w:t>
            </w:r>
          </w:p>
        </w:tc>
        <w:tc>
          <w:tcPr>
            <w:tcW w:w="3120" w:type="dxa"/>
          </w:tcPr>
          <w:p>
            <w:pPr/>
            <w:r>
              <w:t xml:space="preserve">Bad values</w:t>
            </w:r>
          </w:p>
        </w:tc>
        <w:tc>
          <w:tcPr>
            <w:tcW w:w="3120" w:type="dxa"/>
          </w:tcPr>
          <w:p>
            <w:pPr/>
            <w:r>
              <w:t xml:space="preserve">Zero or negative → flag</w:t>
            </w:r>
          </w:p>
        </w:tc>
      </w:tr>
      <w:tr>
        <w:tc>
          <w:tcPr>
            <w:tcW w:w="3120" w:type="dxa"/>
          </w:tcPr>
          <w:p>
            <w:pPr/>
            <w:r>
              <w:t xml:space="preserve">NAV</w:t>
            </w:r>
          </w:p>
        </w:tc>
        <w:tc>
          <w:tcPr>
            <w:tcW w:w="3120" w:type="dxa"/>
          </w:tcPr>
          <w:p>
            <w:pPr/>
            <w:r>
              <w:t xml:space="preserve">Unusual daily move</w:t>
            </w:r>
          </w:p>
        </w:tc>
        <w:tc>
          <w:tcPr>
            <w:tcW w:w="3120" w:type="dxa"/>
          </w:tcPr>
          <w:p>
            <w:pPr/>
            <w:r>
              <w:t xml:space="preserve">Outside the fund's normal range (method below) → flag</w:t>
            </w:r>
          </w:p>
        </w:tc>
      </w:tr>
      <w:tr>
        <w:tc>
          <w:tcPr>
            <w:tcW w:w="3120" w:type="dxa"/>
          </w:tcPr>
          <w:p>
            <w:pPr/>
            <w:r>
              <w:t xml:space="preserve">Benchmark upload</w:t>
            </w:r>
          </w:p>
        </w:tc>
        <w:tc>
          <w:tcPr>
            <w:tcW w:w="3120" w:type="dxa"/>
          </w:tcPr>
          <w:p>
            <w:pPr/>
            <w:r>
              <w:t xml:space="preserve">Bad values</w:t>
            </w:r>
          </w:p>
        </w:tc>
        <w:tc>
          <w:tcPr>
            <w:tcW w:w="3120" w:type="dxa"/>
          </w:tcPr>
          <w:p>
            <w:pPr/>
            <w:r>
              <w:t xml:space="preserve">Zero, negative, duplicate or weekend dates → reject file</w:t>
            </w:r>
          </w:p>
        </w:tc>
      </w:tr>
      <w:tr>
        <w:tc>
          <w:tcPr>
            <w:tcW w:w="3120" w:type="dxa"/>
          </w:tcPr>
          <w:p>
            <w:pPr/>
            <w:r>
              <w:t xml:space="preserve">Benchmark upload</w:t>
            </w:r>
          </w:p>
        </w:tc>
        <w:tc>
          <w:tcPr>
            <w:tcW w:w="3120" w:type="dxa"/>
          </w:tcPr>
          <w:p>
            <w:pPr/>
            <w:r>
              <w:t xml:space="preserve">Date gaps</w:t>
            </w:r>
          </w:p>
        </w:tc>
        <w:tc>
          <w:tcPr>
            <w:tcW w:w="3120" w:type="dxa"/>
          </w:tcPr>
          <w:p>
            <w:pPr/>
            <w:r>
              <w:t xml:space="preserve">Gap longer than 5 calendar days → flag</w:t>
            </w:r>
          </w:p>
        </w:tc>
      </w:tr>
      <w:tr>
        <w:tc>
          <w:tcPr>
            <w:tcW w:w="3120" w:type="dxa"/>
          </w:tcPr>
          <w:p>
            <w:pPr/>
            <w:r>
              <w:t xml:space="preserve">Benchmark upload</w:t>
            </w:r>
          </w:p>
        </w:tc>
        <w:tc>
          <w:tcPr>
            <w:tcW w:w="3120" w:type="dxa"/>
          </w:tcPr>
          <w:p>
            <w:pPr/>
            <w:r>
              <w:t xml:space="preserve">Outliers</w:t>
            </w:r>
          </w:p>
        </w:tc>
        <w:tc>
          <w:tcPr>
            <w:tcW w:w="3120" w:type="dxa"/>
          </w:tcPr>
          <w:p>
            <w:pPr/>
            <w:r>
              <w:t xml:space="preserve">Same normal-range method as NAV, on the index → flag</w:t>
            </w:r>
          </w:p>
        </w:tc>
      </w:tr>
      <w:tr>
        <w:tc>
          <w:tcPr>
            <w:tcW w:w="3120" w:type="dxa"/>
          </w:tcPr>
          <w:p>
            <w:pPr/>
            <w:r>
              <w:t xml:space="preserve">Benchmark upload</w:t>
            </w:r>
          </w:p>
        </w:tc>
        <w:tc>
          <w:tcPr>
            <w:tcW w:w="3120" w:type="dxa"/>
          </w:tcPr>
          <w:p>
            <w:pPr/>
            <w:r>
              <w:t xml:space="preserve">Overlap match</w:t>
            </w:r>
          </w:p>
        </w:tc>
        <w:tc>
          <w:tcPr>
            <w:tcW w:w="3120" w:type="dxa"/>
          </w:tcPr>
          <w:p>
            <w:pPr/>
            <w:r>
              <w:t xml:space="preserve">Dates already stored must match within 0.01 → else reject file</w:t>
            </w:r>
          </w:p>
        </w:tc>
      </w:tr>
      <w:tr>
        <w:tc>
          <w:tcPr>
            <w:tcW w:w="3120" w:type="dxa"/>
          </w:tcPr>
          <w:p>
            <w:pPr/>
            <w:r>
              <w:t xml:space="preserve">Fund mapping</w:t>
            </w:r>
          </w:p>
        </w:tc>
        <w:tc>
          <w:tcPr>
            <w:tcW w:w="3120" w:type="dxa"/>
          </w:tcPr>
          <w:p>
            <w:pPr/>
            <w:r>
              <w:t xml:space="preserve">Plan type</w:t>
            </w:r>
          </w:p>
        </w:tc>
        <w:tc>
          <w:tcPr>
            <w:tcW w:w="3120" w:type="dxa"/>
          </w:tcPr>
          <w:p>
            <w:pPr/>
            <w:r>
              <w:t xml:space="preserve">Scheme name contains "Direct" and "Growth"</w:t>
            </w:r>
          </w:p>
        </w:tc>
      </w:tr>
      <w:tr>
        <w:tc>
          <w:tcPr>
            <w:tcW w:w="3120" w:type="dxa"/>
          </w:tcPr>
          <w:p>
            <w:pPr/>
            <w:r>
              <w:t xml:space="preserve">Factsheet values</w:t>
            </w:r>
          </w:p>
        </w:tc>
        <w:tc>
          <w:tcPr>
            <w:tcW w:w="3120" w:type="dxa"/>
          </w:tcPr>
          <w:p>
            <w:pPr/>
            <w:r>
              <w:t xml:space="preserve">Ranges</w:t>
            </w:r>
          </w:p>
        </w:tc>
        <w:tc>
          <w:tcPr>
            <w:tcW w:w="3120" w:type="dxa"/>
          </w:tcPr>
          <w:p>
            <w:pPr/>
            <w:r>
              <w:t xml:space="preserve">AUM, AAUM above 0 and up to 10 lakh Cr; BER above 0 and up to 2.5% → else not stored</w:t>
            </w:r>
          </w:p>
        </w:tc>
      </w:tr>
      <w:tr>
        <w:tc>
          <w:tcPr>
            <w:tcW w:w="3120" w:type="dxa"/>
          </w:tcPr>
          <w:p>
            <w:pPr/>
            <w:r>
              <w:t xml:space="preserve">Factsheet values</w:t>
            </w:r>
          </w:p>
        </w:tc>
        <w:tc>
          <w:tcPr>
            <w:tcW w:w="3120" w:type="dxa"/>
          </w:tcPr>
          <w:p>
            <w:pPr/>
            <w:r>
              <w:t xml:space="preserve">AAUM vs AUM</w:t>
            </w:r>
          </w:p>
        </w:tc>
        <w:tc>
          <w:tcPr>
            <w:tcW w:w="3120" w:type="dxa"/>
          </w:tcPr>
          <w:p>
            <w:pPr/>
            <w:r>
              <w:t xml:space="preserve">AAUM outside 0.5–2× AUM → flag</w:t>
            </w:r>
          </w:p>
        </w:tc>
      </w:tr>
      <w:tr>
        <w:tc>
          <w:tcPr>
            <w:tcW w:w="3120" w:type="dxa"/>
          </w:tcPr>
          <w:p>
            <w:pPr/>
            <w:r>
              <w:t xml:space="preserve">Factsheet values</w:t>
            </w:r>
          </w:p>
        </w:tc>
        <w:tc>
          <w:tcPr>
            <w:tcW w:w="3120" w:type="dxa"/>
          </w:tcPr>
          <w:p>
            <w:pPr/>
            <w:r>
              <w:t xml:space="preserve">BER vs AMFI</w:t>
            </w:r>
          </w:p>
        </w:tc>
        <w:tc>
          <w:tcPr>
            <w:tcW w:w="3120" w:type="dxa"/>
          </w:tcPr>
          <w:p>
            <w:pPr/>
            <w:r>
              <w:t xml:space="preserve">Factsheet Direct BER more than 0.02% from AMFI BER, with and without 18% GST → flag</w:t>
            </w:r>
          </w:p>
        </w:tc>
      </w:tr>
      <w:tr>
        <w:tc>
          <w:tcPr>
            <w:tcW w:w="3120" w:type="dxa"/>
          </w:tcPr>
          <w:p>
            <w:pPr/>
            <w:r>
              <w:t xml:space="preserve">Factsheet values</w:t>
            </w:r>
          </w:p>
        </w:tc>
        <w:tc>
          <w:tcPr>
            <w:tcW w:w="3120" w:type="dxa"/>
          </w:tcPr>
          <w:p>
            <w:pPr/>
            <w:r>
              <w:t xml:space="preserve">Same month read again</w:t>
            </w:r>
          </w:p>
        </w:tc>
        <w:tc>
          <w:tcPr>
            <w:tcW w:w="3120" w:type="dxa"/>
          </w:tcPr>
          <w:p>
            <w:pPr/>
            <w:r>
              <w:t xml:space="preserve">Changed values reported; a new read that lacks a stored value is not used</w:t>
            </w:r>
          </w:p>
        </w:tc>
      </w:tr>
      <w:tr>
        <w:tc>
          <w:tcPr>
            <w:tcW w:w="3120" w:type="dxa"/>
          </w:tcPr>
          <w:p>
            <w:pPr/>
            <w:r>
              <w:t xml:space="preserve">Spot check</w:t>
            </w:r>
          </w:p>
        </w:tc>
        <w:tc>
          <w:tcPr>
            <w:tcW w:w="3120" w:type="dxa"/>
          </w:tcPr>
          <w:p>
            <w:pPr/>
            <w:r>
              <w:t xml:space="preserve">Manual</w:t>
            </w:r>
          </w:p>
        </w:tc>
        <w:tc>
          <w:tcPr>
            <w:tcW w:w="3120" w:type="dxa"/>
          </w:tcPr>
          <w:p>
            <w:pPr/>
            <w:r>
              <w:t xml:space="preserve">Monthly: latest NAV of 1 to 2 funds vs AMC website</w:t>
            </w:r>
          </w:p>
        </w:tc>
      </w:tr>
    </w:tbl>
    <w:p>
      <w:pPr/>
      <w:r>
        <w:rPr>
          <w:b/>
        </w:rPr>
        <w:t xml:space="preserve">Normal range method (NAV and benchmark)</w:t>
      </w:r>
    </w:p>
    <w:p>
      <w:pPr>
        <w:pStyle w:val="ListParagraph"/>
        <w:numPr>
          <w:ilvl w:val="0"/>
          <w:numId w:val="4"/>
        </w:numPr>
      </w:pPr>
      <w:r>
        <w:t xml:space="preserve">Daily change = today's value / previous value − 1.</w:t>
      </w:r>
    </w:p>
    <w:p>
      <w:pPr>
        <w:pStyle w:val="ListParagraph"/>
        <w:numPr>
          <w:ilvl w:val="0"/>
          <w:numId w:val="4"/>
        </w:numPr>
      </w:pPr>
      <w:r>
        <w:t xml:space="preserve">Divide by calendar days between the two dates. Arbitrage NAV accrues over weekends, so a Monday move is naturally larger.</w:t>
      </w:r>
    </w:p>
    <w:p>
      <w:pPr>
        <w:pStyle w:val="ListParagraph"/>
        <w:numPr>
          <w:ilvl w:val="0"/>
          <w:numId w:val="4"/>
        </w:numPr>
      </w:pPr>
      <w:r>
        <w:t xml:space="preserve">Normal range = the series' median absolute daily change over the last 250 trading days.</w:t>
      </w:r>
    </w:p>
    <w:p>
      <w:pPr>
        <w:pStyle w:val="ListParagraph"/>
        <w:numPr>
          <w:ilvl w:val="0"/>
          <w:numId w:val="4"/>
        </w:numPr>
      </w:pPr>
      <w:r>
        <w:t xml:space="preserve">Flag if today's change is more than 10× that median.</w:t>
      </w:r>
    </w:p>
    <w:p>
      <w:pPr>
        <w:pStyle w:val="ListParagraph"/>
        <w:numPr>
          <w:ilvl w:val="0"/>
          <w:numId w:val="4"/>
        </w:numPr>
      </w:pPr>
      <w:r>
        <w:t xml:space="preserve">Tune the 10× once on 2019–2026 data, so only a handful of days per fund per year are flagged.</w:t>
      </w:r>
    </w:p>
    <w:p>
      <w:pPr/>
      <w:r>
        <w:t xml:space="preserve">A flag means review, not delete. Small negative days are normal for arbitrage funds; only large ones flag.</w:t>
      </w:r>
    </w:p>
    <w:p>
      <w:pPr/>
      <w:r>
        <w:rPr>
          <w:b/>
        </w:rPr>
        <w:t xml:space="preserve">Overlap match:</w:t>
      </w:r>
      <w:r>
        <w:t xml:space="preserve"> each benchmark file usually repeats dates already stored. Those values must equal the stored ones. A mismatch means a wrong file or a different index version (for example price instead of total return). The file is rejected, and nothing is overwritten.</w:t>
      </w:r>
    </w:p>
    <w:p>
      <w:pPr>
        <w:pStyle w:val="Heading2"/>
      </w:pPr>
      <w:r>
        <w:t xml:space="preserve">Calculations</w:t>
      </w:r>
    </w:p>
    <w:p>
      <w:pPr/>
      <w:r>
        <w:t xml:space="preserve">All returns use direct-plan NAV, so costs are already deducted. Returns over 1 year are annualised (CAGR).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Point-to-point return</w:t>
            </w:r>
          </w:p>
        </w:tc>
        <w:tc>
          <w:tcPr>
            <w:tcW w:w="4680" w:type="dxa"/>
          </w:tcPr>
          <w:p>
            <w:pPr/>
            <w:r>
              <w:t xml:space="preserve">NAV(end) / NAV(start), annualised, for 1Y, 3Y, 5Y</w:t>
            </w:r>
          </w:p>
        </w:tc>
      </w:tr>
      <w:tr>
        <w:tc>
          <w:tcPr>
            <w:tcW w:w="4680" w:type="dxa"/>
          </w:tcPr>
          <w:p>
            <w:pPr/>
            <w:r>
              <w:t xml:space="preserve">Rolling return</w:t>
            </w:r>
          </w:p>
        </w:tc>
        <w:tc>
          <w:tcPr>
            <w:tcW w:w="4680" w:type="dxa"/>
          </w:tcPr>
          <w:p>
            <w:pPr/>
            <w:r>
              <w:t xml:space="preserve">Return over each 1Y, 3Y, 5Y window, one window per trading day</w:t>
            </w:r>
          </w:p>
        </w:tc>
      </w:tr>
      <w:tr>
        <w:tc>
          <w:tcPr>
            <w:tcW w:w="4680" w:type="dxa"/>
          </w:tcPr>
          <w:p>
            <w:pPr/>
            <w:r>
              <w:t xml:space="preserve">Rolling stats</w:t>
            </w:r>
          </w:p>
        </w:tc>
        <w:tc>
          <w:tcPr>
            <w:tcW w:w="4680" w:type="dxa"/>
          </w:tcPr>
          <w:p>
            <w:pPr/>
            <w:r>
              <w:t xml:space="preserve">Average, median, min, max, % of windows above a chosen level</w:t>
            </w:r>
          </w:p>
        </w:tc>
      </w:tr>
      <w:tr>
        <w:tc>
          <w:tcPr>
            <w:tcW w:w="4680" w:type="dxa"/>
          </w:tcPr>
          <w:p>
            <w:pPr/>
            <w:r>
              <w:t xml:space="preserve">Tracking difference</w:t>
            </w:r>
          </w:p>
        </w:tc>
        <w:tc>
          <w:tcPr>
            <w:tcW w:w="4680" w:type="dxa"/>
          </w:tcPr>
          <w:p>
            <w:pPr/>
            <w:r>
              <w:t xml:space="preserve">Fund return minus benchmark return, same window</w:t>
            </w:r>
          </w:p>
        </w:tc>
      </w:tr>
      <w:tr>
        <w:tc>
          <w:tcPr>
            <w:tcW w:w="4680" w:type="dxa"/>
          </w:tcPr>
          <w:p>
            <w:pPr/>
            <w:r>
              <w:t xml:space="preserve">Rolling tracking difference</w:t>
            </w:r>
          </w:p>
        </w:tc>
        <w:tc>
          <w:tcPr>
            <w:tcW w:w="4680" w:type="dxa"/>
          </w:tcPr>
          <w:p>
            <w:pPr/>
            <w:r>
              <w:t xml:space="preserve">Tracking difference for every rolling window</w:t>
            </w:r>
          </w:p>
        </w:tc>
      </w:tr>
      <w:tr>
        <w:tc>
          <w:tcPr>
            <w:tcW w:w="4680" w:type="dxa"/>
          </w:tcPr>
          <w:p>
            <w:pPr/>
            <w:r>
              <w:t xml:space="preserve">TER</w:t>
            </w:r>
          </w:p>
        </w:tc>
        <w:tc>
          <w:tcPr>
            <w:tcW w:w="4680" w:type="dxa"/>
          </w:tcPr>
          <w:p>
            <w:pPr/>
            <w:r>
              <w:t xml:space="preserve">BER and total TER from AMFI, latest; Direct BER from the factsheet alongside</w:t>
            </w:r>
          </w:p>
        </w:tc>
      </w:tr>
      <w:tr>
        <w:tc>
          <w:tcPr>
            <w:tcW w:w="4680" w:type="dxa"/>
          </w:tcPr>
          <w:p>
            <w:pPr/>
            <w:r>
              <w:t xml:space="preserve">AUM</w:t>
            </w:r>
          </w:p>
        </w:tc>
        <w:tc>
          <w:tcPr>
            <w:tcW w:w="4680" w:type="dxa"/>
          </w:tcPr>
          <w:p>
            <w:pPr/>
            <w:r>
              <w:t xml:space="preserve">Month-end AUM and monthly AAUM from the latest factsheet, in Rs crore</w:t>
            </w:r>
          </w:p>
        </w:tc>
      </w:tr>
    </w:tbl>
    <w:p>
      <w:pPr>
        <w:pStyle w:val="ListParagraph"/>
        <w:numPr>
          <w:ilvl w:val="0"/>
          <w:numId w:val="5"/>
        </w:numPr>
      </w:pPr>
      <w:r>
        <w:t xml:space="preserve">Missing date (holiday): use the nearest earlier value.</w:t>
      </w:r>
    </w:p>
    <w:p>
      <w:pPr>
        <w:pStyle w:val="ListParagraph"/>
        <w:numPr>
          <w:ilvl w:val="0"/>
          <w:numId w:val="5"/>
        </w:numPr>
      </w:pPr>
      <w:r>
        <w:t xml:space="preserve">A window needs a full history. Data starts 01-Jan-2019, so the chart's first 1Y point is Jan 2020, 3Y is Jan 2022, 5Y is Jan 2024.</w:t>
      </w:r>
    </w:p>
    <w:p>
      <w:pPr>
        <w:pStyle w:val="Heading2"/>
      </w:pPr>
      <w:r>
        <w:t xml:space="preserve">Screens and requirements</w:t>
      </w:r>
    </w:p>
    <w:p>
      <w:pPr/>
      <w:r>
        <w:t xml:space="preserve">v0 has four screens. Every table can be sorted and exported to CSV.</w:t>
      </w:r>
    </w:p>
    <w:p>
      <w:pPr/>
      <w:r>
        <w:rPr>
          <w:b/>
        </w:rPr>
        <w:t xml:space="preserve">Common filter</w:t>
      </w:r>
    </w:p>
    <w:p>
      <w:pPr>
        <w:pStyle w:val="ListParagraph"/>
        <w:numPr>
          <w:ilvl w:val="0"/>
          <w:numId w:val="6"/>
        </w:numPr>
      </w:pPr>
      <w:r>
        <w:rPr>
          <w:b/>
        </w:rPr>
        <w:t xml:space="preserve">Fund category:</w:t>
      </w:r>
      <w:r>
        <w:t xml:space="preserve"> single-select, on Fund comparison and Rolling returns. v0 has one value: Arbitrage. New categories appear here as they are added.</w:t>
      </w:r>
    </w:p>
    <w:p>
      <w:pPr>
        <w:pStyle w:val="ListParagraph"/>
        <w:numPr>
          <w:ilvl w:val="0"/>
          <w:numId w:val="6"/>
        </w:numPr>
      </w:pPr>
      <w:r>
        <w:t xml:space="preserve">The funds list and all tables show only funds in the selected category.</w:t>
      </w:r>
    </w:p>
    <w:p>
      <w:pPr/>
      <w:r>
        <w:rPr>
          <w:b/>
        </w:rPr>
        <w:t xml:space="preserve">1. Fund comparison</w:t>
      </w:r>
    </w:p>
    <w:p>
      <w:pPr>
        <w:pStyle w:val="ListParagraph"/>
        <w:numPr>
          <w:ilvl w:val="0"/>
          <w:numId w:val="7"/>
        </w:numPr>
      </w:pPr>
      <w:r>
        <w:t xml:space="preserve">One row per fund: NAV, AUM, AAUM, BER (AMFI and factsheet), total TER, turnover, exit load, manager, launch date, links to the factsheet and monthly portfolio.</w:t>
      </w:r>
    </w:p>
    <w:p>
      <w:pPr>
        <w:pStyle w:val="ListParagraph"/>
        <w:numPr>
          <w:ilvl w:val="0"/>
          <w:numId w:val="7"/>
        </w:numPr>
      </w:pPr>
      <w:r>
        <w:t xml:space="preserve">Returns: 1Y, 3Y, 5Y point-to-point, with tracking difference vs benchmark.</w:t>
      </w:r>
    </w:p>
    <w:p>
      <w:pPr>
        <w:pStyle w:val="ListParagraph"/>
        <w:numPr>
          <w:ilvl w:val="0"/>
          <w:numId w:val="7"/>
        </w:numPr>
      </w:pPr>
      <w:r>
        <w:t xml:space="preserve">Flags: exit load above 0.25%, data check failures.</w:t>
      </w:r>
    </w:p>
    <w:p>
      <w:pPr/>
      <w:r>
        <w:rPr>
          <w:b/>
        </w:rPr>
        <w:t xml:space="preserve">2. Rolling returns</w:t>
      </w:r>
    </w:p>
    <w:p>
      <w:pPr>
        <w:pStyle w:val="ListParagraph"/>
        <w:numPr>
          <w:ilvl w:val="0"/>
          <w:numId w:val="8"/>
        </w:numPr>
      </w:pPr>
      <w:r>
        <w:t xml:space="preserve">Funds: multi-select, pick 1 or more (up to 8). Window: 1Y, 3Y or 5Y.</w:t>
      </w:r>
    </w:p>
    <w:p>
      <w:pPr>
        <w:pStyle w:val="ListParagraph"/>
        <w:numPr>
          <w:ilvl w:val="0"/>
          <w:numId w:val="8"/>
        </w:numPr>
      </w:pPr>
      <w:r>
        <w:rPr>
          <w:b/>
        </w:rPr>
        <w:t xml:space="preserve">Time-series chart:</w:t>
      </w:r>
      <w:r>
        <w:t xml:space="preserve"> rolling return per day for each selected fund, from 01-Jan-2019 data.</w:t>
      </w:r>
    </w:p>
    <w:p>
      <w:pPr>
        <w:pStyle w:val="ListParagraph"/>
        <w:numPr>
          <w:ilvl w:val="0"/>
          <w:numId w:val="8"/>
        </w:numPr>
      </w:pPr>
      <w:r>
        <w:rPr>
          <w:b/>
        </w:rPr>
        <w:t xml:space="preserve">Benchmark line</w:t>
      </w:r>
      <w:r>
        <w:t xml:space="preserve"> on the same chart, styled differently.</w:t>
      </w:r>
    </w:p>
    <w:p>
      <w:pPr>
        <w:pStyle w:val="ListParagraph"/>
        <w:numPr>
          <w:ilvl w:val="0"/>
          <w:numId w:val="8"/>
        </w:numPr>
      </w:pPr>
      <w:r>
        <w:t xml:space="preserve">Stats table under the chart: average, median, min, max, % of windows above a chosen level, average tracking difference.</w:t>
      </w:r>
    </w:p>
    <w:p>
      <w:pPr>
        <w:pStyle w:val="ListParagraph"/>
        <w:numPr>
          <w:ilvl w:val="0"/>
          <w:numId w:val="8"/>
        </w:numPr>
      </w:pPr>
      <w:r>
        <w:t xml:space="preserve">Hover shows date, fund, value.</w:t>
      </w:r>
    </w:p>
    <w:p>
      <w:pPr/>
      <w:r>
        <w:rPr>
          <w:b/>
        </w:rPr>
        <w:t xml:space="preserve">3. Data health</w:t>
      </w:r>
    </w:p>
    <w:p>
      <w:pPr>
        <w:pStyle w:val="ListParagraph"/>
        <w:numPr>
          <w:ilvl w:val="0"/>
          <w:numId w:val="9"/>
        </w:numPr>
      </w:pPr>
      <w:r>
        <w:t xml:space="preserve">Last refresh date per dataset.</w:t>
      </w:r>
    </w:p>
    <w:p>
      <w:pPr>
        <w:pStyle w:val="ListParagraph"/>
        <w:numPr>
          <w:ilvl w:val="0"/>
          <w:numId w:val="9"/>
        </w:numPr>
      </w:pPr>
      <w:r>
        <w:t xml:space="preserve">Validation results and any flags.</w:t>
      </w:r>
    </w:p>
    <w:p>
      <w:pPr>
        <w:pStyle w:val="ListParagraph"/>
        <w:numPr>
          <w:ilvl w:val="0"/>
          <w:numId w:val="9"/>
        </w:numPr>
      </w:pPr>
      <w:r>
        <w:t xml:space="preserve">Benchmark CSV upload, saved to GitHub.</w:t>
      </w:r>
    </w:p>
    <w:p>
      <w:pPr>
        <w:pStyle w:val="ListParagraph"/>
        <w:numPr>
          <w:ilvl w:val="0"/>
          <w:numId w:val="9"/>
        </w:numPr>
      </w:pPr>
      <w:r>
        <w:t xml:space="preserve">Mark flags reviewed, saved to GitHub.</w:t>
      </w:r>
    </w:p>
    <w:p>
      <w:pPr>
        <w:pStyle w:val="ListParagraph"/>
        <w:numPr>
          <w:ilvl w:val="0"/>
          <w:numId w:val="9"/>
        </w:numPr>
      </w:pPr>
      <w:r>
        <w:t xml:space="preserve">Link to run the data job by hand.</w:t>
      </w:r>
    </w:p>
    <w:p>
      <w:pPr/>
      <w:r>
        <w:rPr>
          <w:b/>
        </w:rPr>
        <w:t xml:space="preserve">4. Ask the analyst</w:t>
      </w:r>
    </w:p>
    <w:p>
      <w:pPr>
        <w:pStyle w:val="ListParagraph"/>
        <w:numPr>
          <w:ilvl w:val="0"/>
          <w:numId w:val="9"/>
        </w:numPr>
      </w:pPr>
      <w:r>
        <w:t xml:space="preserve">Chat about the funds. The model calls tools over stored data: list funds, compare funds, returns, rolling return stats, NAV history, data status.</w:t>
      </w:r>
    </w:p>
    <w:p>
      <w:pPr>
        <w:pStyle w:val="ListParagraph"/>
        <w:numPr>
          <w:ilvl w:val="0"/>
          <w:numId w:val="9"/>
        </w:numPr>
      </w:pPr>
      <w:r>
        <w:t xml:space="preserve">Answers use only tool results; no data from the model’s own memory.</w:t>
      </w:r>
    </w:p>
    <w:p>
      <w:pPr>
        <w:pStyle w:val="ListParagraph"/>
        <w:numPr>
          <w:ilvl w:val="0"/>
          <w:numId w:val="9"/>
        </w:numPr>
      </w:pPr>
      <w:r>
        <w:t xml:space="preserve">Model set in Streamlit secrets: Gemini by default; Claude or any OpenAI-compatible API (e.g. Groq gpt-oss-120b) supported.</w:t>
      </w:r>
    </w:p>
    <w:p>
      <w:pPr>
        <w:pStyle w:val="ListParagraph"/>
        <w:numPr>
          <w:ilvl w:val="0"/>
          <w:numId w:val="9"/>
        </w:numPr>
      </w:pPr>
      <w:r>
        <w:t xml:space="preserve">Searches the factsheet text (below) before the first model call; a search_factsheets tool covers other wording, funds or months.</w:t>
      </w:r>
    </w:p>
    <w:p>
      <w:pPr/>
      <w:r>
        <w:rPr>
          <w:b/>
        </w:rPr>
        <w:t xml:space="preserve">Data refresh (GitHub Actions job)</w:t>
      </w:r>
    </w:p>
    <w:p>
      <w:pPr>
        <w:pStyle w:val="ListParagraph"/>
        <w:numPr>
          <w:ilvl w:val="0"/>
          <w:numId w:val="10"/>
        </w:numPr>
      </w:pPr>
      <w:r>
        <w:t xml:space="preserve">NAV and TER: every weekday, 03:15 IST.</w:t>
      </w:r>
    </w:p>
    <w:p>
      <w:pPr>
        <w:pStyle w:val="ListParagraph"/>
        <w:numPr>
          <w:ilvl w:val="0"/>
          <w:numId w:val="10"/>
        </w:numPr>
      </w:pPr>
      <w:r>
        <w:t xml:space="preserve">Factsheets: 12th, 18th and 25th of each month, 09:00 IST (with NAV and TER).</w:t>
      </w:r>
    </w:p>
    <w:p>
      <w:pPr>
        <w:pStyle w:val="ListParagraph"/>
        <w:numPr>
          <w:ilvl w:val="0"/>
          <w:numId w:val="10"/>
        </w:numPr>
      </w:pPr>
      <w:r>
        <w:t xml:space="preserve">Can also be run by hand from GitHub Actions.</w:t>
      </w:r>
    </w:p>
    <w:p>
      <w:pPr>
        <w:pStyle w:val="ListParagraph"/>
        <w:numPr>
          <w:ilvl w:val="0"/>
          <w:numId w:val="10"/>
        </w:numPr>
      </w:pPr>
      <w:r>
        <w:t xml:space="preserve">Missed days are caught up on the next run.</w:t>
      </w:r>
    </w:p>
    <w:p>
      <w:pPr>
        <w:pStyle w:val="ListParagraph"/>
        <w:numPr>
          <w:ilvl w:val="0"/>
          <w:numId w:val="10"/>
        </w:numPr>
      </w:pPr>
      <w:r>
        <w:t xml:space="preserve">The job commits only its own files (funds, nav, ter, factsheet values); the app commits only benchmark and reviewed flags, so they never overwrite each other.</w:t>
      </w:r>
    </w:p>
    <w:p>
      <w:pPr>
        <w:pStyle w:val="ListParagraph"/>
        <w:numPr>
          <w:ilvl w:val="0"/>
          <w:numId w:val="10"/>
        </w:numPr>
      </w:pPr>
      <w:r>
        <w:t xml:space="preserve">The job shows as failed when there are errors or new flags, so they get seen.</w:t>
      </w:r>
    </w:p>
    <w:p>
      <w:pPr>
        <w:pStyle w:val="Heading2"/>
      </w:pPr>
      <w:r>
        <w:t xml:space="preserve">Mock</w:t>
      </w:r>
    </w:p>
    <w:p>
      <w:pPr/>
      <w:r>
        <w:drawing>
          <wp:inline distT="0" distB="0" distL="0" distR="0">
            <wp:extent cx="5486400" cy="3951514"/>
            <wp:docPr id="1" name="image1" descr="wireframe · Rolling returns screen · illustrative lines, not real data"/>
            <a:graphic xmlns:a="http://schemas.openxmlformats.org/drawingml/2006/main">
              <a:graphicData uri="http://schemas.openxmlformats.org/drawingml/2006/picture">
                <pic:pic xmlns:pic="http://schemas.openxmlformats.org/drawingml/2006/picture">
                  <pic:nvPicPr>
                    <pic:cNvPr id="1" name="image1" descr="wireframe · Rolling returns screen · illustrative lines, not real data"/>
                    <pic:cNvPicPr/>
                  </pic:nvPicPr>
                  <pic:blipFill>
                    <a:blip r:embed="rId5"/>
                    <a:stretch>
                      <a:fillRect/>
                    </a:stretch>
                  </pic:blipFill>
                  <pic:spPr>
                    <a:xfrm>
                      <a:off x="0" y="0"/>
                      <a:ext cx="5486400" cy="3951514"/>
                    </a:xfrm>
                    <a:prstGeom prst="rect">
                      <a:avLst/>
                    </a:prstGeom>
                  </pic:spPr>
                </pic:pic>
              </a:graphicData>
            </a:graphic>
          </wp:inline>
        </w:drawing>
      </w:r>
    </w:p>
    <w:p>
      <w:pPr/>
      <w:r>
        <w:t xml:space="preserve">wireframe · Rolling returns screen · illustrative lines, not real data</w:t>
      </w:r>
    </w:p>
    <w:p>
      <w:pPr/>
      <w:r>
        <w:t xml:space="preserve">The chart shows each fund's rolling return day by day, with the benchmark dashed. The stats table under it summarises the same windows. The Fund comparison screen is a plain sortable table with the columns listed above.</w:t>
      </w:r>
    </w:p>
    <w:p>
      <w:pPr/>
      <w:r>
        <w:drawing>
          <wp:inline distT="0" distB="0" distL="0" distR="0">
            <wp:extent cx="5486400" cy="2881992"/>
            <wp:docPr id="2" name="image2" descr="wireframe · Fund comparison screen · placeholder values"/>
            <a:graphic xmlns:a="http://schemas.openxmlformats.org/drawingml/2006/main">
              <a:graphicData uri="http://schemas.openxmlformats.org/drawingml/2006/picture">
                <pic:pic xmlns:pic="http://schemas.openxmlformats.org/drawingml/2006/picture">
                  <pic:nvPicPr>
                    <pic:cNvPr id="2" name="image2" descr="wireframe · Fund comparison screen · placeholder values"/>
                    <pic:cNvPicPr/>
                  </pic:nvPicPr>
                  <pic:blipFill>
                    <a:blip r:embed="rId6"/>
                    <a:stretch>
                      <a:fillRect/>
                    </a:stretch>
                  </pic:blipFill>
                  <pic:spPr>
                    <a:xfrm>
                      <a:off x="0" y="0"/>
                      <a:ext cx="5486400" cy="2881992"/>
                    </a:xfrm>
                    <a:prstGeom prst="rect">
                      <a:avLst/>
                    </a:prstGeom>
                  </pic:spPr>
                </pic:pic>
              </a:graphicData>
            </a:graphic>
          </wp:inline>
        </w:drawing>
      </w:r>
    </w:p>
    <w:p>
      <w:pPr/>
      <w:r>
        <w:t xml:space="preserve">wireframe · Fund comparison screen · placeholder values</w:t>
      </w:r>
    </w:p>
    <w:p>
      <w:pPr/>
      <w:r>
        <w:t xml:space="preserve">The Fund comparison screen is the landing page: one sortable row per fund, with a flag for anything that needs a look.</w:t>
      </w:r>
    </w:p>
    <w:p>
      <w:pPr/>
      <w:r>
        <w:drawing>
          <wp:inline distT="0" distB="0" distL="0" distR="0">
            <wp:extent cx="5486400" cy="3233057"/>
            <wp:docPr id="3" name="image3" descr="wireframe · Data health screen · placeholder dates and flags"/>
            <a:graphic xmlns:a="http://schemas.openxmlformats.org/drawingml/2006/main">
              <a:graphicData uri="http://schemas.openxmlformats.org/drawingml/2006/picture">
                <pic:pic xmlns:pic="http://schemas.openxmlformats.org/drawingml/2006/picture">
                  <pic:nvPicPr>
                    <pic:cNvPr id="3" name="image3" descr="wireframe · Data health screen · placeholder dates and flags"/>
                    <pic:cNvPicPr/>
                  </pic:nvPicPr>
                  <pic:blipFill>
                    <a:blip r:embed="rId7"/>
                    <a:stretch>
                      <a:fillRect/>
                    </a:stretch>
                  </pic:blipFill>
                  <pic:spPr>
                    <a:xfrm>
                      <a:off x="0" y="0"/>
                      <a:ext cx="5486400" cy="3233057"/>
                    </a:xfrm>
                    <a:prstGeom prst="rect">
                      <a:avLst/>
                    </a:prstGeom>
                  </pic:spPr>
                </pic:pic>
              </a:graphicData>
            </a:graphic>
          </wp:inline>
        </w:drawing>
      </w:r>
    </w:p>
    <w:p>
      <w:pPr/>
      <w:r>
        <w:t xml:space="preserve">wireframe · Data health screen · placeholder dates and flags</w:t>
      </w:r>
    </w:p>
    <w:p>
      <w:pPr/>
      <w:r>
        <w:t xml:space="preserve">The Data health screen shows how fresh each dataset is, lists open flags to review, and takes the monthly benchmark upload.</w:t>
      </w:r>
    </w:p>
    <w:p>
      <w:pPr>
        <w:pStyle w:val="Heading2"/>
      </w:pPr>
      <w:r>
        <w:t xml:space="preserve">Tech stack and storage</w:t>
      </w:r>
    </w:p>
    <w:p>
      <w:pPr/>
      <w:r>
        <w:t xml:space="preserve">Python, pandas and Streamlit, on Streamlit Cloud. Data kept as CSV files in the GitHub repository.</w:t>
      </w:r>
    </w:p>
    <w:p>
      <w:pPr>
        <w:pStyle w:val="ListParagraph"/>
        <w:numPr>
          <w:ilvl w:val="0"/>
          <w:numId w:val="11"/>
        </w:numPr>
      </w:pPr>
      <w:r>
        <w:rPr>
          <w:b/>
        </w:rPr>
        <w:t xml:space="preserve">Calculations:</w:t>
      </w:r>
      <w:r>
        <w:t xml:space="preserve"> a separate Python module, not inside UI code. A future API or chatbot reuses it as is.</w:t>
      </w:r>
    </w:p>
    <w:p>
      <w:pPr>
        <w:pStyle w:val="ListParagraph"/>
        <w:numPr>
          <w:ilvl w:val="0"/>
          <w:numId w:val="11"/>
        </w:numPr>
      </w:pPr>
      <w:r>
        <w:rPr>
          <w:b/>
        </w:rPr>
        <w:t xml:space="preserve">Data store:</w:t>
      </w:r>
      <w:r>
        <w:t xml:space="preserve"> CSV files in published/ (funds, nav, ter, benchmark, factsheet values, reviewed flags) are the source of truth. One row per key, sorted, so a change shows as a small diff.</w:t>
      </w:r>
    </w:p>
    <w:p>
      <w:pPr>
        <w:pStyle w:val="ListParagraph"/>
        <w:numPr>
          <w:ilvl w:val="0"/>
          <w:numId w:val="11"/>
        </w:numPr>
      </w:pPr>
      <w:r>
        <w:rPr>
          <w:b/>
        </w:rPr>
        <w:t xml:space="preserve">Database:</w:t>
      </w:r>
      <w:r>
        <w:t xml:space="preserve"> SQLite, a cache rebuilt from the CSV files when the app starts or a file changes.</w:t>
      </w:r>
    </w:p>
    <w:p>
      <w:pPr>
        <w:pStyle w:val="ListParagraph"/>
        <w:numPr>
          <w:ilvl w:val="0"/>
          <w:numId w:val="11"/>
        </w:numPr>
      </w:pPr>
      <w:r>
        <w:rPr>
          <w:b/>
        </w:rPr>
        <w:t xml:space="preserve">Saves from the app:</w:t>
      </w:r>
      <w:r>
        <w:t xml:space="preserve"> through the GitHub API with the GITHUB_TOKEN secret. A save never overwrites a newer version; a failed save is undone.</w:t>
      </w:r>
    </w:p>
    <w:p>
      <w:pPr>
        <w:pStyle w:val="ListParagraph"/>
        <w:numPr>
          <w:ilvl w:val="0"/>
          <w:numId w:val="11"/>
        </w:numPr>
      </w:pPr>
      <w:r>
        <w:rPr>
          <w:b/>
        </w:rPr>
        <w:t xml:space="preserve">Backup and history:</w:t>
      </w:r>
      <w:r>
        <w:t xml:space="preserve"> the repository’s git history.</w:t>
      </w:r>
    </w:p>
    <w:p>
      <w:pPr>
        <w:pStyle w:val="ListParagraph"/>
        <w:numPr>
          <w:ilvl w:val="0"/>
          <w:numId w:val="11"/>
        </w:numPr>
      </w:pPr>
      <w:r>
        <w:rPr>
          <w:b/>
        </w:rPr>
        <w:t xml:space="preserve">Secrets:</w:t>
      </w:r>
      <w:r>
        <w:t xml:space="preserve"> GITHUB_TOKEN, chatbot model key, Mistral key (for factsheet search).</w:t>
      </w:r>
    </w:p>
    <w:p>
      <w:pPr>
        <w:pStyle w:val="ListParagraph"/>
        <w:numPr>
          <w:ilvl w:val="0"/>
          <w:numId w:val="11"/>
        </w:numPr>
      </w:pPr>
      <w:r>
        <w:rPr>
          <w:b/>
        </w:rPr>
        <w:t xml:space="preserve">Later:</w:t>
      </w:r>
      <w:r>
        <w:t xml:space="preserve"> FastAPI over the module when a second consumer appears. Postgres when data or users outgrow CSV files.</w:t>
      </w:r>
    </w:p>
    <w:p>
      <w:pPr>
        <w:pStyle w:val="Heading2"/>
      </w:pPr>
      <w:r>
        <w:t xml:space="preserve">Factsheet search for the chatbot (phase 1 built)</w:t>
      </w:r>
    </w:p>
    <w:p>
      <w:pPr/>
      <w:r>
        <w:t xml:space="preserve">Lets the chatbot answer questions only the factsheet text answers, for example “does this fund use derivatives?”. Answers quote the factsheet and link the page.</w:t>
      </w:r>
    </w:p>
    <w:p>
      <w:pPr/>
      <w:r>
        <w:rPr>
          <w:b/>
        </w:rPr>
        <w:t xml:space="preserve">Scope</w:t>
      </w:r>
    </w:p>
    <w:p>
      <w:pPr>
        <w:pStyle w:val="ListParagraph"/>
        <w:numPr>
          <w:ilvl w:val="0"/>
          <w:numId w:val="7"/>
        </w:numPr>
      </w:pPr>
      <w:r>
        <w:t xml:space="preserve">Fund page only, for each fund. Portfolio pages later.</w:t>
      </w:r>
    </w:p>
    <w:p>
      <w:pPr>
        <w:pStyle w:val="ListParagraph"/>
        <w:numPr>
          <w:ilvl w:val="0"/>
          <w:numId w:val="7"/>
        </w:numPr>
      </w:pPr>
      <w:r>
        <w:t xml:space="preserve">All months kept, so historical questions work (“what did it say in August?”). Latest month by default.</w:t>
      </w:r>
    </w:p>
    <w:p>
      <w:pPr/>
      <w:r>
        <w:rPr>
          <w:b/>
        </w:rPr>
        <w:t xml:space="preserve">Chunks</w:t>
      </w:r>
    </w:p>
    <w:p>
      <w:pPr>
        <w:pStyle w:val="ListParagraph"/>
        <w:numPr>
          <w:ilvl w:val="0"/>
          <w:numId w:val="7"/>
        </w:numPr>
      </w:pPr>
      <w:r>
        <w:rPr>
          <w:b/>
        </w:rPr>
        <w:t xml:space="preserve">Layout-aware:</w:t>
      </w:r>
      <w:r>
        <w:t xml:space="preserve"> split by column and section heading, so a label stays with its value.</w:t>
      </w:r>
    </w:p>
    <w:p>
      <w:pPr>
        <w:pStyle w:val="ListParagraph"/>
        <w:numPr>
          <w:ilvl w:val="0"/>
          <w:numId w:val="7"/>
        </w:numPr>
      </w:pPr>
      <w:r>
        <w:rPr>
          <w:b/>
        </w:rPr>
        <w:t xml:space="preserve">Size cap:</w:t>
      </w:r>
      <w:r>
        <w:t xml:space="preserve"> about 250 tokens (200–300). A longer section is split with 1–2 lines of overlap. Plain fixed-size split only when the layout cannot be read.</w:t>
      </w:r>
    </w:p>
    <w:p>
      <w:pPr>
        <w:pStyle w:val="ListParagraph"/>
        <w:numPr>
          <w:ilvl w:val="0"/>
          <w:numId w:val="7"/>
        </w:numPr>
      </w:pPr>
      <w:r>
        <w:rPr>
          <w:b/>
        </w:rPr>
        <w:t xml:space="preserve">Each chunk keeps:</w:t>
      </w:r>
      <w:r>
        <w:t xml:space="preserve"> fund, AMC, as-of month, page, section, PDF link, text hash, embedding model.</w:t>
      </w:r>
    </w:p>
    <w:p>
      <w:pPr>
        <w:pStyle w:val="ListParagraph"/>
        <w:numPr>
          <w:ilvl w:val="0"/>
          <w:numId w:val="7"/>
        </w:numPr>
      </w:pPr>
      <w:r>
        <w:t xml:space="preserve">Built by the factsheet job (12th, 18th, 25th) into published/factsheet_chunks.csv; embeddings into published/factsheet_embeddings.csv.</w:t>
      </w:r>
    </w:p>
    <w:p>
      <w:pPr/>
      <w:r>
        <w:rPr>
          <w:b/>
        </w:rPr>
        <w:t xml:space="preserve">Search, phase 1: keyword</w:t>
      </w:r>
    </w:p>
    <w:p>
      <w:pPr>
        <w:pStyle w:val="ListParagraph"/>
        <w:numPr>
          <w:ilvl w:val="0"/>
          <w:numId w:val="7"/>
        </w:numPr>
      </w:pPr>
      <w:r>
        <w:t xml:space="preserve">Keyword search (BM25), filtered to the fund and month first. Fund found by AMC name in the question; month by name (“in August” = data as of 31-Aug); else each fund’s latest month.</w:t>
      </w:r>
    </w:p>
    <w:p>
      <w:pPr>
        <w:pStyle w:val="ListParagraph"/>
        <w:numPr>
          <w:ilvl w:val="0"/>
          <w:numId w:val="7"/>
        </w:numPr>
      </w:pPr>
      <w:r>
        <w:t xml:space="preserve">Fund and AMC names are not counted as matches (they would favour chunks that print the fund name).</w:t>
      </w:r>
    </w:p>
    <w:p>
      <w:pPr>
        <w:pStyle w:val="ListParagraph"/>
        <w:numPr>
          <w:ilvl w:val="0"/>
          <w:numId w:val="7"/>
        </w:numPr>
      </w:pPr>
      <w:r>
        <w:t xml:space="preserve">Small synonym list, e.g. derivative ↔ futures ↔ hedge.</w:t>
      </w:r>
    </w:p>
    <w:p>
      <w:pPr>
        <w:pStyle w:val="ListParagraph"/>
        <w:numPr>
          <w:ilvl w:val="0"/>
          <w:numId w:val="7"/>
        </w:numPr>
      </w:pPr>
      <w:r>
        <w:t xml:space="preserve">Runs before the first model call: top 3 chunks sent with the question (about 750 tokens at most); the tool returns up to 5 (about 1,500 tokens). Keeps each call within free-tier token limits (e.g. Groq about 8K tokens per minute).</w:t>
      </w:r>
    </w:p>
    <w:p>
      <w:pPr>
        <w:pStyle w:val="ListParagraph"/>
        <w:numPr>
          <w:ilvl w:val="0"/>
          <w:numId w:val="7"/>
        </w:numPr>
      </w:pPr>
      <w:r>
        <w:t xml:space="preserve">Below a score threshold, the answer is “not stated in the factsheet”.</w:t>
      </w:r>
    </w:p>
    <w:p>
      <w:pPr/>
      <w:r>
        <w:rPr>
          <w:b/>
        </w:rPr>
        <w:t xml:space="preserve">Search, phase 2: semantic</w:t>
      </w:r>
    </w:p>
    <w:p>
      <w:pPr>
        <w:pStyle w:val="ListParagraph"/>
        <w:numPr>
          <w:ilvl w:val="0"/>
          <w:numId w:val="7"/>
        </w:numPr>
      </w:pPr>
      <w:r>
        <w:t xml:space="preserve">Embeddings made with Mistral (mistral-embed) by the data job when the MISTRAL_API_KEY repository secret is set; re-made only for changed chunks (text hash).</w:t>
      </w:r>
    </w:p>
    <w:p>
      <w:pPr>
        <w:pStyle w:val="ListParagraph"/>
        <w:numPr>
          <w:ilvl w:val="0"/>
          <w:numId w:val="7"/>
        </w:numPr>
      </w:pPr>
      <w:r>
        <w:t xml:space="preserve">Phase 2: set [settings.factsheet_search] mode to semantic or hybrid (needs MISTRAL_API_KEY in the app’s secrets), only if the evals show it is better.</w:t>
      </w:r>
    </w:p>
    <w:p>
      <w:pPr>
        <w:pStyle w:val="ListParagraph"/>
        <w:numPr>
          <w:ilvl w:val="0"/>
          <w:numId w:val="7"/>
        </w:numPr>
      </w:pPr>
      <w:r>
        <w:t xml:space="preserve">If Mistral fails, search falls back to keyword.</w:t>
      </w:r>
    </w:p>
    <w:p>
      <w:pPr>
        <w:pStyle w:val="ListParagraph"/>
        <w:numPr>
          <w:ilvl w:val="0"/>
          <w:numId w:val="7"/>
        </w:numPr>
      </w:pPr>
      <w:r>
        <w:t xml:space="preserve">Mistral free tier: turn off training on our data in its admin settings.</w:t>
      </w:r>
    </w:p>
    <w:p>
      <w:pPr/>
      <w:r>
        <w:rPr>
          <w:b/>
        </w:rPr>
        <w:t xml:space="preserve">Answers</w:t>
      </w:r>
    </w:p>
    <w:p>
      <w:pPr>
        <w:pStyle w:val="ListParagraph"/>
        <w:numPr>
          <w:ilvl w:val="0"/>
          <w:numId w:val="7"/>
        </w:numPr>
      </w:pPr>
      <w:r>
        <w:t xml:space="preserve">Quote the chunk used and link the factsheet page.</w:t>
      </w:r>
    </w:p>
    <w:p>
      <w:pPr>
        <w:pStyle w:val="ListParagraph"/>
        <w:numPr>
          <w:ilvl w:val="0"/>
          <w:numId w:val="7"/>
        </w:numPr>
      </w:pPr>
      <w:r>
        <w:t xml:space="preserve">Log the chunks found for each question, for review.</w:t>
      </w:r>
    </w:p>
    <w:p>
      <w:pPr>
        <w:pStyle w:val="Heading2"/>
      </w:pPr>
      <w:r>
        <w:t xml:space="preserve">Evals for factsheet search</w:t>
      </w:r>
    </w:p>
    <w:p>
      <w:pPr/>
      <w:r>
        <w:t xml:space="preserve">A small test set checks search and answers against the PDF, before and after semantic search.</w:t>
      </w:r>
    </w:p>
    <w:p>
      <w:pPr>
        <w:pStyle w:val="ListParagraph"/>
        <w:numPr>
          <w:ilvl w:val="0"/>
          <w:numId w:val="7"/>
        </w:numPr>
      </w:pPr>
      <w:r>
        <w:rPr>
          <w:b/>
        </w:rPr>
        <w:t xml:space="preserve">Test set:</w:t>
      </w:r>
      <w:r>
        <w:t xml:space="preserve"> about 20 questions across the funds. Each has the known answer chunk and the answer as printed in the PDF (fund, month, page).</w:t>
      </w:r>
    </w:p>
    <w:p>
      <w:pPr>
        <w:pStyle w:val="ListParagraph"/>
        <w:numPr>
          <w:ilvl w:val="0"/>
          <w:numId w:val="7"/>
        </w:numPr>
      </w:pPr>
      <w:r>
        <w:rPr>
          <w:b/>
        </w:rPr>
        <w:t xml:space="preserve">Mix:</w:t>
      </w:r>
      <w:r>
        <w:t xml:space="preserve"> direct values (AUM, BER, turnover); yes/no (derivatives, hedging); wording that differs from the PDF; past months; 2–3 with no answer in the factsheet.</w:t>
      </w:r>
    </w:p>
    <w:p>
      <w:pPr>
        <w:pStyle w:val="ListParagraph"/>
        <w:numPr>
          <w:ilvl w:val="0"/>
          <w:numId w:val="7"/>
        </w:numPr>
      </w:pPr>
      <w:r>
        <w:rPr>
          <w:b/>
        </w:rPr>
        <w:t xml:space="preserve">Search score:</w:t>
      </w:r>
      <w:r>
        <w:t xml:space="preserve"> answer chunk ranked first, and in the top 3.</w:t>
      </w:r>
    </w:p>
    <w:p>
      <w:pPr>
        <w:pStyle w:val="ListParagraph"/>
        <w:numPr>
          <w:ilvl w:val="0"/>
          <w:numId w:val="7"/>
        </w:numPr>
      </w:pPr>
      <w:r>
        <w:rPr>
          <w:b/>
        </w:rPr>
        <w:t xml:space="preserve">Answer score:</w:t>
      </w:r>
      <w:r>
        <w:t xml:space="preserve"> matches the PDF value or wording; says “not stated” when the factsheet has no answer; no made-up values.</w:t>
      </w:r>
    </w:p>
    <w:p>
      <w:pPr>
        <w:pStyle w:val="ListParagraph"/>
        <w:numPr>
          <w:ilvl w:val="0"/>
          <w:numId w:val="7"/>
        </w:numPr>
      </w:pPr>
      <w:r>
        <w:rPr>
          <w:b/>
        </w:rPr>
        <w:t xml:space="preserve">Runs:</w:t>
      </w:r>
      <w:r>
        <w:t xml:space="preserve"> keyword search first (baseline), then semantic and hybrid. Switch only when better.</w:t>
      </w:r>
    </w:p>
    <w:p>
      <w:pPr>
        <w:pStyle w:val="ListParagraph"/>
        <w:numPr>
          <w:ilvl w:val="0"/>
          <w:numId w:val="7"/>
        </w:numPr>
      </w:pPr>
      <w:r>
        <w:rPr>
          <w:b/>
        </w:rPr>
        <w:t xml:space="preserve">Review:</w:t>
      </w:r>
      <w:r>
        <w:t xml:space="preserve"> results kept as a short report for review; rerun when chunking or the model changes.</w:t>
      </w:r>
    </w:p>
    <w:p>
      <w:pPr>
        <w:pStyle w:val="ListParagraph"/>
        <w:numPr>
          <w:ilvl w:val="0"/>
          <w:numId w:val="7"/>
        </w:numPr>
      </w:pPr>
      <w:r>
        <w:rPr>
          <w:b/>
        </w:rPr>
        <w:t xml:space="preserve">Command:</w:t>
      </w:r>
      <w:r>
        <w:t xml:space="preserve"> python -m arbitrage_analyser eval-search (add --modes keyword,semantic,hybrid, and --answers to ask the chatbot).</w:t>
      </w:r>
    </w:p>
    <w:p>
      <w:pPr>
        <w:pStyle w:val="ListParagraph"/>
        <w:numPr>
          <w:ilvl w:val="0"/>
          <w:numId w:val="7"/>
        </w:numPr>
      </w:pPr>
      <w:r>
        <w:rPr>
          <w:b/>
        </w:rPr>
        <w:t xml:space="preserve">First run (keyword, 30-Oct-2026, 24 questions):</w:t>
      </w:r>
      <w:r>
        <w:t xml:space="preserve"> answer chunk first 20/21, in top 3 21/21; nothing returned for 2 of 3 not-stated questions. Answers not yet scored (needs a model key).</w:t>
      </w:r>
    </w:p>
    <w:p>
      <w:pPr>
        <w:pStyle w:val="ListParagraph"/>
        <w:numPr>
          <w:ilvl w:val="0"/>
          <w:numId w:val="7"/>
        </w:numPr>
      </w:pPr>
      <w:r>
        <w:rPr>
          <w:b/>
        </w:rPr>
        <w:t xml:space="preserve">Caveat:</w:t>
      </w:r>
      <w:r>
        <w:t xml:space="preserve"> the score threshold was set on this same set; add new questions over time so results are not only on questions it was tuned on.</w:t>
      </w:r>
    </w:p>
    <w:p>
      <w:pPr/>
      <w:r>
        <w:rPr>
          <w:b/>
        </w:rPr>
        <w:t xml:space="preserve">Example questions</w:t>
      </w:r>
    </w:p>
    <w:tbl>
      <w:tblPr>
        <w:tblStyle w:val="TableGrid"/>
        <w:tblW w:w="0" w:type="auto"/>
        <w:tblLayout w:type="fixed"/>
        <w:tblLook w:val="04A0" w:firstRow="1" w:lastRow="0" w:firstColumn="0" w:lastColumn="0" w:noHBand="0" w:noVBand="1"/>
      </w:tblPr>
      <w:tblGrid>
        <w:gridCol w:w="3900"/>
        <w:gridCol w:w="1800"/>
        <w:gridCol w:w="3660"/>
      </w:tblGrid>
      <w:tr>
        <w:trPr>
          <w:tblHeader/>
        </w:trPr>
        <w:tc>
          <w:tcPr>
            <w:tcW w:w="3900" w:type="dxa"/>
            <w:shd w:val="clear" w:color="auto" w:fill="F2F2F2"/>
          </w:tcPr>
          <w:p>
            <w:pPr/>
            <w:r>
              <w:t xml:space="preserve">Question</w:t>
            </w:r>
          </w:p>
        </w:tc>
        <w:tc>
          <w:tcPr>
            <w:tcW w:w="1800" w:type="dxa"/>
            <w:shd w:val="clear" w:color="auto" w:fill="F2F2F2"/>
          </w:tcPr>
          <w:p>
            <w:pPr/>
            <w:r>
              <w:t xml:space="preserve">Type</w:t>
            </w:r>
          </w:p>
        </w:tc>
        <w:tc>
          <w:tcPr>
            <w:tcW w:w="3660" w:type="dxa"/>
            <w:shd w:val="clear" w:color="auto" w:fill="F2F2F2"/>
          </w:tcPr>
          <w:p>
            <w:pPr/>
            <w:r>
              <w:t xml:space="preserve">Truth from the PDF</w:t>
            </w:r>
          </w:p>
        </w:tc>
      </w:tr>
      <w:tr>
        <w:tc>
          <w:tcPr>
            <w:tcW w:w="3900" w:type="dxa"/>
          </w:tcPr>
          <w:p>
            <w:pPr/>
            <w:r>
              <w:t xml:space="preserve">What was the AUM of Nippon India Arbitrage Fund as of 30-Sep-2026?</w:t>
            </w:r>
          </w:p>
        </w:tc>
        <w:tc>
          <w:tcPr>
            <w:tcW w:w="1800" w:type="dxa"/>
          </w:tcPr>
          <w:p>
            <w:pPr/>
            <w:r>
              <w:t xml:space="preserve">Value</w:t>
            </w:r>
          </w:p>
        </w:tc>
        <w:tc>
          <w:tcPr>
            <w:tcW w:w="3660" w:type="dxa"/>
          </w:tcPr>
          <w:p>
            <w:pPr/>
            <w:r>
              <w:t xml:space="preserve">Nippon factsheet (Oct 2026), fund page: Rs 17,215.96 Cr</w:t>
            </w:r>
          </w:p>
        </w:tc>
      </w:tr>
      <w:tr>
        <w:tc>
          <w:tcPr>
            <w:tcW w:w="3900" w:type="dxa"/>
          </w:tcPr>
          <w:p>
            <w:pPr/>
            <w:r>
              <w:t xml:space="preserve">What is Nippon India Arbitrage Fund’s portfolio turnover?</w:t>
            </w:r>
          </w:p>
        </w:tc>
        <w:tc>
          <w:tcPr>
            <w:tcW w:w="1800" w:type="dxa"/>
          </w:tcPr>
          <w:p>
            <w:pPr/>
            <w:r>
              <w:t xml:space="preserve">Printed as NA</w:t>
            </w:r>
          </w:p>
        </w:tc>
        <w:tc>
          <w:tcPr>
            <w:tcW w:w="3660" w:type="dxa"/>
          </w:tcPr>
          <w:p>
            <w:pPr/>
            <w:r>
              <w:t xml:space="preserve">Same page prints NA; answer must say so, not guess</w:t>
            </w:r>
          </w:p>
        </w:tc>
      </w:tr>
      <w:tr>
        <w:tc>
          <w:tcPr>
            <w:tcW w:w="3900" w:type="dxa"/>
          </w:tcPr>
          <w:p>
            <w:pPr/>
            <w:r>
              <w:t xml:space="preserve">Does the fund use derivatives?</w:t>
            </w:r>
          </w:p>
        </w:tc>
        <w:tc>
          <w:tcPr>
            <w:tcW w:w="1800" w:type="dxa"/>
          </w:tcPr>
          <w:p>
            <w:pPr/>
            <w:r>
              <w:t xml:space="preserve">Yes/no, synonyms</w:t>
            </w:r>
          </w:p>
        </w:tc>
        <w:tc>
          <w:tcPr>
            <w:tcW w:w="3660" w:type="dxa"/>
          </w:tcPr>
          <w:p>
            <w:pPr/>
            <w:r>
              <w:t xml:space="preserve">Fund page section on derivatives or hedged equity</w:t>
            </w:r>
          </w:p>
        </w:tc>
      </w:tr>
      <w:tr>
        <w:tc>
          <w:tcPr>
            <w:tcW w:w="3900" w:type="dxa"/>
          </w:tcPr>
          <w:p>
            <w:pPr/>
            <w:r>
              <w:t xml:space="preserve">What was the fund’s Direct BER in August?</w:t>
            </w:r>
          </w:p>
        </w:tc>
        <w:tc>
          <w:tcPr>
            <w:tcW w:w="1800" w:type="dxa"/>
          </w:tcPr>
          <w:p>
            <w:pPr/>
            <w:r>
              <w:t xml:space="preserve">Past month</w:t>
            </w:r>
          </w:p>
        </w:tc>
        <w:tc>
          <w:tcPr>
            <w:tcW w:w="3660" w:type="dxa"/>
          </w:tcPr>
          <w:p>
            <w:pPr/>
            <w:r>
              <w:t xml:space="preserve">That month’s factsheet, fund page</w:t>
            </w:r>
          </w:p>
        </w:tc>
      </w:tr>
      <w:tr>
        <w:tc>
          <w:tcPr>
            <w:tcW w:w="3900" w:type="dxa"/>
          </w:tcPr>
          <w:p>
            <w:pPr/>
            <w:r>
              <w:t xml:space="preserve">Who is the fund’s auditor?</w:t>
            </w:r>
          </w:p>
        </w:tc>
        <w:tc>
          <w:tcPr>
            <w:tcW w:w="1800" w:type="dxa"/>
          </w:tcPr>
          <w:p>
            <w:pPr/>
            <w:r>
              <w:t xml:space="preserve">Not in factsheet</w:t>
            </w:r>
          </w:p>
        </w:tc>
        <w:tc>
          <w:tcPr>
            <w:tcW w:w="3660" w:type="dxa"/>
          </w:tcPr>
          <w:p>
            <w:pPr/>
            <w:r>
              <w:t xml:space="preserve">Answer: not stated in the factsheet</w:t>
            </w:r>
          </w:p>
        </w:tc>
      </w:tr>
    </w:tbl>
    <w:p>
      <w:pPr>
        <w:pStyle w:val="Heading2"/>
      </w:pPr>
      <w:r>
        <w:t xml:space="preserve">Out of scope for v0</w:t>
      </w:r>
    </w:p>
    <w:p>
      <w:pPr>
        <w:pStyle w:val="ListParagraph"/>
        <w:numPr>
          <w:ilvl w:val="0"/>
          <w:numId w:val="12"/>
        </w:numPr>
      </w:pPr>
      <w:r>
        <w:t xml:space="preserve">Monthly portfolio holdings (hedge %, debt quality). Planned for v2, with AI extraction.</w:t>
      </w:r>
    </w:p>
    <w:p>
      <w:pPr>
        <w:pStyle w:val="ListParagraph"/>
        <w:numPr>
          <w:ilvl w:val="0"/>
          <w:numId w:val="12"/>
        </w:numPr>
      </w:pPr>
      <w:r>
        <w:t xml:space="preserve">Factsheet search on portfolio pages (fund page only for now).</w:t>
      </w:r>
    </w:p>
    <w:p>
      <w:pPr>
        <w:pStyle w:val="ListParagraph"/>
        <w:numPr>
          <w:ilvl w:val="0"/>
          <w:numId w:val="12"/>
        </w:numPr>
      </w:pPr>
      <w:r>
        <w:t xml:space="preserve">Other fund categories.</w:t>
      </w:r>
    </w:p>
    <w:p>
      <w:pPr>
        <w:pStyle w:val="ListParagraph"/>
        <w:numPr>
          <w:ilvl w:val="0"/>
          <w:numId w:val="12"/>
        </w:numPr>
      </w:pPr>
      <w:r>
        <w:t xml:space="preserve">External users, login.</w:t>
      </w:r>
    </w:p>
    <w:p>
      <w:pPr>
        <w:pStyle w:val="ListParagraph"/>
        <w:numPr>
          <w:ilvl w:val="0"/>
          <w:numId w:val="12"/>
        </w:numPr>
      </w:pPr>
      <w:r>
        <w:t xml:space="preserve">Scores or buy recommendations.</w:t>
      </w:r>
    </w:p>
    <w:p>
      <w:pPr>
        <w:pStyle w:val="ListParagraph"/>
        <w:numPr>
          <w:ilvl w:val="0"/>
          <w:numId w:val="12"/>
        </w:numPr>
      </w:pPr>
      <w:r>
        <w:t xml:space="preserve">On hold: total TER from factsheets where AMFI has none; showing “NA” where the factsheet prints NA.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mfiindia.com/ter-of-mf-schemes" TargetMode="External"/><Relationship Id="rId4" Type="http://schemas.openxmlformats.org/officeDocument/2006/relationships/hyperlink" Target="https://www.amfiindia.com/aum-data/average-aum"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Arbitrage Fund Analyser – v0 Spec</dc:title>
  <dc:description>Claude Docs node/54e601b2-6c20@19 docx-w6</dc:description>
  <cp:revision>19</cp:revision>
</cp:coreProperties>
</file>