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Arbitrage Fund Analyser – v0 Spec</w:t>
      </w:r>
    </w:p>
    <w:p>
      <w:pPr/>
      <w:r>
        <w:t xml:space="preserve">Oct 7, 2026</w:t>
      </w:r>
      <w:r>
        <w:t xml:space="preserve"> · </w:t>
      </w:r>
      <w:r>
        <w:t xml:space="preserve">@Nikhil</w:t>
      </w:r>
    </w:p>
    <w:p>
      <w:pPr>
        <w:pStyle w:val="Heading2"/>
      </w:pPr>
      <w:r>
        <w:t xml:space="preserve">Goal and scope</w:t>
      </w:r>
    </w:p>
    <w:p>
      <w:pPr/>
      <w:r>
        <w:t xml:space="preserve">v0 is an internal tool that compares arbitrage funds on returns, costs and size, against the benchmark.</w:t>
      </w:r>
    </w:p>
    <w:p>
      <w:pPr>
        <w:pStyle w:val="ListParagraph"/>
        <w:numPr>
          <w:ilvl w:val="0"/>
          <w:numId w:val="2"/>
        </w:numPr>
      </w:pPr>
      <w:r>
        <w:rPr>
          <w:b/>
        </w:rPr>
        <w:t xml:space="preserve">Users:</w:t>
      </w:r>
      <w:r>
        <w:t xml:space="preserve"> internal only. Runs on one laptop.</w:t>
      </w:r>
    </w:p>
    <w:p>
      <w:pPr>
        <w:pStyle w:val="ListParagraph"/>
        <w:numPr>
          <w:ilvl w:val="0"/>
          <w:numId w:val="2"/>
        </w:numPr>
      </w:pPr>
      <w:r>
        <w:rPr>
          <w:b/>
        </w:rPr>
        <w:t xml:space="preserve">Funds:</w:t>
      </w:r>
      <w:r>
        <w:t xml:space="preserve"> 8 arbitrage funds, direct growth plans. Kotak, SBI, ICICI Pru, Invesco, ABSL, Tata, Nippon, Edelweiss.</w:t>
      </w:r>
    </w:p>
    <w:p>
      <w:pPr>
        <w:pStyle w:val="ListParagraph"/>
        <w:numPr>
          <w:ilvl w:val="0"/>
          <w:numId w:val="2"/>
        </w:numPr>
      </w:pPr>
      <w:r>
        <w:rPr>
          <w:b/>
        </w:rPr>
        <w:t xml:space="preserve">History:</w:t>
      </w:r>
      <w:r>
        <w:t xml:space="preserve"> from 01-Jan-2019.</w:t>
      </w:r>
    </w:p>
    <w:p>
      <w:pPr>
        <w:pStyle w:val="ListParagraph"/>
        <w:numPr>
          <w:ilvl w:val="0"/>
          <w:numId w:val="2"/>
        </w:numPr>
      </w:pPr>
      <w:r>
        <w:rPr>
          <w:b/>
        </w:rPr>
        <w:t xml:space="preserve">Later:</w:t>
      </w:r>
      <w:r>
        <w:t xml:space="preserve"> other fund categories, external users, a chatbot. The design must not block these.</w:t>
      </w:r>
    </w:p>
    <w:p>
      <w:pPr>
        <w:pStyle w:val="Heading2"/>
      </w:pPr>
      <w:r>
        <w:t xml:space="preserve">Data sources</w:t>
      </w:r>
    </w:p>
    <w:p>
      <w:pPr/>
      <w:r>
        <w:t xml:space="preserve">All fund data comes from AMFI and is automated. Only the benchmark and two config fields are manual. The AMFI code links every dataset.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Data</w:t>
            </w:r>
          </w:p>
        </w:tc>
        <w:tc>
          <w:tcPr>
            <w:tcW w:w="2340" w:type="dxa"/>
            <w:shd w:val="clear" w:color="auto" w:fill="F2F2F2"/>
          </w:tcPr>
          <w:p>
            <w:pPr/>
            <w:r>
              <w:t xml:space="preserve">Source</w:t>
            </w:r>
          </w:p>
        </w:tc>
        <w:tc>
          <w:tcPr>
            <w:tcW w:w="2340" w:type="dxa"/>
            <w:shd w:val="clear" w:color="auto" w:fill="F2F2F2"/>
          </w:tcPr>
          <w:p>
            <w:pPr/>
            <w:r>
              <w:t xml:space="preserve">Frequency</w:t>
            </w:r>
          </w:p>
        </w:tc>
        <w:tc>
          <w:tcPr>
            <w:tcW w:w="2340" w:type="dxa"/>
            <w:shd w:val="clear" w:color="auto" w:fill="F2F2F2"/>
          </w:tcPr>
          <w:p>
            <w:pPr/>
            <w:r>
              <w:t xml:space="preserve">How</w:t>
            </w:r>
          </w:p>
        </w:tc>
      </w:tr>
      <w:tr>
        <w:tc>
          <w:tcPr>
            <w:tcW w:w="2340" w:type="dxa"/>
          </w:tcPr>
          <w:p>
            <w:pPr/>
            <w:r>
              <w:t xml:space="preserve">Daily NAV</w:t>
            </w:r>
          </w:p>
        </w:tc>
        <w:tc>
          <w:tcPr>
            <w:tcW w:w="2340" w:type="dxa"/>
          </w:tcPr>
          <w:p>
            <w:pPr/>
            <w:r>
              <w:t xml:space="preserve">mfapi.in (republishes AMFI data)</w:t>
            </w:r>
          </w:p>
        </w:tc>
        <w:tc>
          <w:tcPr>
            <w:tcW w:w="2340" w:type="dxa"/>
          </w:tcPr>
          <w:p>
            <w:pPr/>
            <w:r>
              <w:t xml:space="preserve">Daily</w:t>
            </w:r>
          </w:p>
        </w:tc>
        <w:tc>
          <w:tcPr>
            <w:tcW w:w="2340" w:type="dxa"/>
          </w:tcPr>
          <w:p>
            <w:pPr/>
            <w:r>
              <w:t xml:space="preserve">Automated</w:t>
            </w:r>
          </w:p>
        </w:tc>
      </w:tr>
      <w:tr>
        <w:tc>
          <w:tcPr>
            <w:tcW w:w="2340" w:type="dxa"/>
          </w:tcPr>
          <w:p>
            <w:pPr/>
            <w:r>
              <w:t xml:space="preserve">TER breakdown (base, brokerage, transaction, levies, total)</w:t>
            </w:r>
          </w:p>
        </w:tc>
        <w:tc>
          <w:tcPr>
            <w:tcW w:w="2340" w:type="dxa"/>
          </w:tcPr>
          <w:p>
            <w:pPr/>
            <w:hyperlink r:id="rId3" w:history="1">
              <w:r>
                <w:rPr>
                  <w:rStyle w:val="Hyperlink"/>
                </w:rPr>
                <w:t xml:space="preserve">AMFI TER page</w:t>
              </w:r>
            </w:hyperlink>
          </w:p>
        </w:tc>
        <w:tc>
          <w:tcPr>
            <w:tcW w:w="2340" w:type="dxa"/>
          </w:tcPr>
          <w:p>
            <w:pPr/>
            <w:r>
              <w:t xml:space="preserve">Monthly</w:t>
            </w:r>
          </w:p>
        </w:tc>
        <w:tc>
          <w:tcPr>
            <w:tcW w:w="2340" w:type="dxa"/>
          </w:tcPr>
          <w:p>
            <w:pPr/>
            <w:r>
              <w:t xml:space="preserve">Manual upload</w:t>
            </w:r>
          </w:p>
        </w:tc>
      </w:tr>
      <w:tr>
        <w:tc>
          <w:tcPr>
            <w:tcW w:w="2340" w:type="dxa"/>
          </w:tcPr>
          <w:p>
            <w:pPr/>
            <w:r>
              <w:t xml:space="preserve">Average AUM, scheme-wise</w:t>
            </w:r>
          </w:p>
        </w:tc>
        <w:tc>
          <w:tcPr>
            <w:tcW w:w="2340" w:type="dxa"/>
          </w:tcPr>
          <w:p>
            <w:pPr/>
            <w:hyperlink r:id="rId4" w:history="1">
              <w:r>
                <w:rPr>
                  <w:rStyle w:val="Hyperlink"/>
                </w:rPr>
                <w:t xml:space="preserve">AMFI Average AUM page</w:t>
              </w:r>
            </w:hyperlink>
          </w:p>
        </w:tc>
        <w:tc>
          <w:tcPr>
            <w:tcW w:w="2340" w:type="dxa"/>
          </w:tcPr>
          <w:p>
            <w:pPr/>
            <w:r>
              <w:t xml:space="preserve">Quarterly</w:t>
            </w:r>
          </w:p>
        </w:tc>
        <w:tc>
          <w:tcPr>
            <w:tcW w:w="2340" w:type="dxa"/>
          </w:tcPr>
          <w:p>
            <w:pPr/>
            <w:r>
              <w:t xml:space="preserve">Manual upload (Excel export)</w:t>
            </w:r>
          </w:p>
        </w:tc>
      </w:tr>
      <w:tr>
        <w:tc>
          <w:tcPr>
            <w:tcW w:w="2340" w:type="dxa"/>
          </w:tcPr>
          <w:p>
            <w:pPr/>
            <w:r>
              <w:t xml:space="preserve">Launch date</w:t>
            </w:r>
          </w:p>
        </w:tc>
        <w:tc>
          <w:tcPr>
            <w:tcW w:w="2340" w:type="dxa"/>
          </w:tcPr>
          <w:p>
            <w:pPr/>
            <w:r>
              <w:t xml:space="preserve">First date in NAV history</w:t>
            </w:r>
          </w:p>
        </w:tc>
        <w:tc>
          <w:tcPr>
            <w:tcW w:w="2340" w:type="dxa"/>
          </w:tcPr>
          <w:p>
            <w:pPr/>
            <w:r>
              <w:t xml:space="preserve">One-time</w:t>
            </w:r>
          </w:p>
        </w:tc>
        <w:tc>
          <w:tcPr>
            <w:tcW w:w="2340" w:type="dxa"/>
          </w:tcPr>
          <w:p>
            <w:pPr/>
            <w:r>
              <w:t xml:space="preserve">Automated</w:t>
            </w:r>
          </w:p>
        </w:tc>
      </w:tr>
      <w:tr>
        <w:tc>
          <w:tcPr>
            <w:tcW w:w="2340" w:type="dxa"/>
          </w:tcPr>
          <w:p>
            <w:pPr/>
            <w:r>
              <w:t xml:space="preserve">Benchmark: Nifty 50 Arbitrage Index</w:t>
            </w:r>
          </w:p>
        </w:tc>
        <w:tc>
          <w:tcPr>
            <w:tcW w:w="2340" w:type="dxa"/>
          </w:tcPr>
          <w:p>
            <w:pPr/>
            <w:r>
              <w:t xml:space="preserve">niftyindices.com</w:t>
            </w:r>
          </w:p>
        </w:tc>
        <w:tc>
          <w:tcPr>
            <w:tcW w:w="2340" w:type="dxa"/>
          </w:tcPr>
          <w:p>
            <w:pPr/>
            <w:r>
              <w:t xml:space="preserve">Monthly upload</w:t>
            </w:r>
          </w:p>
        </w:tc>
        <w:tc>
          <w:tcPr>
            <w:tcW w:w="2340" w:type="dxa"/>
          </w:tcPr>
          <w:p>
            <w:pPr/>
            <w:r>
              <w:t xml:space="preserve">Manual</w:t>
            </w:r>
          </w:p>
        </w:tc>
      </w:tr>
      <w:tr>
        <w:tc>
          <w:tcPr>
            <w:tcW w:w="2340" w:type="dxa"/>
          </w:tcPr>
          <w:p>
            <w:pPr/>
            <w:r>
              <w:t xml:space="preserve">Exit load, fund manager</w:t>
            </w:r>
          </w:p>
        </w:tc>
        <w:tc>
          <w:tcPr>
            <w:tcW w:w="2340" w:type="dxa"/>
          </w:tcPr>
          <w:p>
            <w:pPr/>
            <w:r>
              <w:t xml:space="preserve">Config file</w:t>
            </w:r>
          </w:p>
        </w:tc>
        <w:tc>
          <w:tcPr>
            <w:tcW w:w="2340" w:type="dxa"/>
          </w:tcPr>
          <w:p>
            <w:pPr/>
            <w:r>
              <w:t xml:space="preserve">On change</w:t>
            </w:r>
          </w:p>
        </w:tc>
        <w:tc>
          <w:tcPr>
            <w:tcW w:w="2340" w:type="dxa"/>
          </w:tcPr>
          <w:p>
            <w:pPr/>
            <w:r>
              <w:t xml:space="preserve">Manual</w:t>
            </w:r>
          </w:p>
        </w:tc>
      </w:tr>
      <w:tr>
        <w:tc>
          <w:tcPr>
            <w:tcW w:w="2340" w:type="dxa"/>
          </w:tcPr>
          <w:p>
            <w:pPr/>
            <w:r>
              <w:t xml:space="preserve">Fund list, category and AMFI codes</w:t>
            </w:r>
          </w:p>
        </w:tc>
        <w:tc>
          <w:tcPr>
            <w:tcW w:w="2340" w:type="dxa"/>
          </w:tcPr>
          <w:p>
            <w:pPr/>
            <w:r>
              <w:t xml:space="preserve">Config file</w:t>
            </w:r>
          </w:p>
        </w:tc>
        <w:tc>
          <w:tcPr>
            <w:tcW w:w="2340" w:type="dxa"/>
          </w:tcPr>
          <w:p>
            <w:pPr/>
            <w:r>
              <w:t xml:space="preserve">One-time</w:t>
            </w:r>
          </w:p>
        </w:tc>
        <w:tc>
          <w:tcPr>
            <w:tcW w:w="2340" w:type="dxa"/>
          </w:tcPr>
          <w:p>
            <w:pPr/>
            <w:r>
              <w:t xml:space="preserve">Manual</w:t>
            </w:r>
          </w:p>
        </w:tc>
      </w:tr>
    </w:tbl>
    <w:p>
      <w:pPr>
        <w:pStyle w:val="ListParagraph"/>
        <w:numPr>
          <w:ilvl w:val="0"/>
          <w:numId w:val="3"/>
        </w:numPr>
      </w:pPr>
      <w:r>
        <w:t xml:space="preserve">AMFI AAUM is in Rs lakhs. Store in Rs crore.</w:t>
      </w:r>
    </w:p>
    <w:p>
      <w:pPr>
        <w:pStyle w:val="ListParagraph"/>
        <w:numPr>
          <w:ilvl w:val="0"/>
          <w:numId w:val="3"/>
        </w:numPr>
      </w:pPr>
      <w:r>
        <w:t xml:space="preserve">Use the same benchmark index version as the factsheets, every time.</w:t>
      </w:r>
    </w:p>
    <w:p>
      <w:pPr>
        <w:pStyle w:val="ListParagraph"/>
        <w:numPr>
          <w:ilvl w:val="0"/>
          <w:numId w:val="3"/>
        </w:numPr>
      </w:pPr>
      <w:r>
        <w:t xml:space="preserve">Resolved during build: AMFI's NAV history allows only 90 days per download, so NAV comes from mfapi.in, with code, ISIN and plan checked each refresh. No AMFI API for TER and AAUM could be verified, so both are file uploads.</w:t>
      </w:r>
    </w:p>
    <w:p>
      <w:pPr>
        <w:pStyle w:val="Heading2"/>
      </w:pPr>
      <w:r>
        <w:t xml:space="preserve">Data validation</w:t>
      </w:r>
    </w:p>
    <w:p>
      <w:pPr/>
      <w:r>
        <w:t xml:space="preserve">Every load runs these checks. A failed check is flagged on screen, not silently dropped. No separate NAV-vs-price check is needed: for a mutual fund, NAV is the price.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Check</w:t>
            </w:r>
          </w:p>
        </w:tc>
        <w:tc>
          <w:tcPr>
            <w:tcW w:w="3120" w:type="dxa"/>
            <w:shd w:val="clear" w:color="auto" w:fill="F2F2F2"/>
          </w:tcPr>
          <w:p>
            <w:pPr/>
            <w:r>
              <w:t xml:space="preserve">Rule</w:t>
            </w:r>
          </w:p>
        </w:tc>
      </w:tr>
      <w:tr>
        <w:tc>
          <w:tcPr>
            <w:tcW w:w="3120" w:type="dxa"/>
          </w:tcPr>
          <w:p>
            <w:pPr/>
            <w:r>
              <w:t xml:space="preserve">NAV</w:t>
            </w:r>
          </w:p>
        </w:tc>
        <w:tc>
          <w:tcPr>
            <w:tcW w:w="3120" w:type="dxa"/>
          </w:tcPr>
          <w:p>
            <w:pPr/>
            <w:r>
              <w:t xml:space="preserve">Missing dates</w:t>
            </w:r>
          </w:p>
        </w:tc>
        <w:tc>
          <w:tcPr>
            <w:tcW w:w="3120" w:type="dxa"/>
          </w:tcPr>
          <w:p>
            <w:pPr/>
            <w:r>
              <w:t xml:space="preserve">Gap longer than 5 calendar days → flag</w:t>
            </w:r>
          </w:p>
        </w:tc>
      </w:tr>
      <w:tr>
        <w:tc>
          <w:tcPr>
            <w:tcW w:w="3120" w:type="dxa"/>
          </w:tcPr>
          <w:p>
            <w:pPr/>
            <w:r>
              <w:t xml:space="preserve">NAV</w:t>
            </w:r>
          </w:p>
        </w:tc>
        <w:tc>
          <w:tcPr>
            <w:tcW w:w="3120" w:type="dxa"/>
          </w:tcPr>
          <w:p>
            <w:pPr/>
            <w:r>
              <w:t xml:space="preserve">Duplicate dates</w:t>
            </w:r>
          </w:p>
        </w:tc>
        <w:tc>
          <w:tcPr>
            <w:tcW w:w="3120" w:type="dxa"/>
          </w:tcPr>
          <w:p>
            <w:pPr/>
            <w:r>
              <w:t xml:space="preserve">Same date twice → flag</w:t>
            </w:r>
          </w:p>
        </w:tc>
      </w:tr>
      <w:tr>
        <w:tc>
          <w:tcPr>
            <w:tcW w:w="3120" w:type="dxa"/>
          </w:tcPr>
          <w:p>
            <w:pPr/>
            <w:r>
              <w:t xml:space="preserve">NAV</w:t>
            </w:r>
          </w:p>
        </w:tc>
        <w:tc>
          <w:tcPr>
            <w:tcW w:w="3120" w:type="dxa"/>
          </w:tcPr>
          <w:p>
            <w:pPr/>
            <w:r>
              <w:t xml:space="preserve">Bad values</w:t>
            </w:r>
          </w:p>
        </w:tc>
        <w:tc>
          <w:tcPr>
            <w:tcW w:w="3120" w:type="dxa"/>
          </w:tcPr>
          <w:p>
            <w:pPr/>
            <w:r>
              <w:t xml:space="preserve">Zero or negative → flag</w:t>
            </w:r>
          </w:p>
        </w:tc>
      </w:tr>
      <w:tr>
        <w:tc>
          <w:tcPr>
            <w:tcW w:w="3120" w:type="dxa"/>
          </w:tcPr>
          <w:p>
            <w:pPr/>
            <w:r>
              <w:t xml:space="preserve">NAV</w:t>
            </w:r>
          </w:p>
        </w:tc>
        <w:tc>
          <w:tcPr>
            <w:tcW w:w="3120" w:type="dxa"/>
          </w:tcPr>
          <w:p>
            <w:pPr/>
            <w:r>
              <w:t xml:space="preserve">Unusual daily move</w:t>
            </w:r>
          </w:p>
        </w:tc>
        <w:tc>
          <w:tcPr>
            <w:tcW w:w="3120" w:type="dxa"/>
          </w:tcPr>
          <w:p>
            <w:pPr/>
            <w:r>
              <w:t xml:space="preserve">Outside the fund's normal range (method below) → flag</w:t>
            </w:r>
          </w:p>
        </w:tc>
      </w:tr>
      <w:tr>
        <w:tc>
          <w:tcPr>
            <w:tcW w:w="3120" w:type="dxa"/>
          </w:tcPr>
          <w:p>
            <w:pPr/>
            <w:r>
              <w:t xml:space="preserve">Benchmark upload</w:t>
            </w:r>
          </w:p>
        </w:tc>
        <w:tc>
          <w:tcPr>
            <w:tcW w:w="3120" w:type="dxa"/>
          </w:tcPr>
          <w:p>
            <w:pPr/>
            <w:r>
              <w:t xml:space="preserve">Bad values</w:t>
            </w:r>
          </w:p>
        </w:tc>
        <w:tc>
          <w:tcPr>
            <w:tcW w:w="3120" w:type="dxa"/>
          </w:tcPr>
          <w:p>
            <w:pPr/>
            <w:r>
              <w:t xml:space="preserve">Zero, negative, duplicate or weekend dates → reject file</w:t>
            </w:r>
          </w:p>
        </w:tc>
      </w:tr>
      <w:tr>
        <w:tc>
          <w:tcPr>
            <w:tcW w:w="3120" w:type="dxa"/>
          </w:tcPr>
          <w:p>
            <w:pPr/>
            <w:r>
              <w:t xml:space="preserve">Benchmark upload</w:t>
            </w:r>
          </w:p>
        </w:tc>
        <w:tc>
          <w:tcPr>
            <w:tcW w:w="3120" w:type="dxa"/>
          </w:tcPr>
          <w:p>
            <w:pPr/>
            <w:r>
              <w:t xml:space="preserve">Date gaps</w:t>
            </w:r>
          </w:p>
        </w:tc>
        <w:tc>
          <w:tcPr>
            <w:tcW w:w="3120" w:type="dxa"/>
          </w:tcPr>
          <w:p>
            <w:pPr/>
            <w:r>
              <w:t xml:space="preserve">Gap longer than 5 calendar days → flag</w:t>
            </w:r>
          </w:p>
        </w:tc>
      </w:tr>
      <w:tr>
        <w:tc>
          <w:tcPr>
            <w:tcW w:w="3120" w:type="dxa"/>
          </w:tcPr>
          <w:p>
            <w:pPr/>
            <w:r>
              <w:t xml:space="preserve">Benchmark upload</w:t>
            </w:r>
          </w:p>
        </w:tc>
        <w:tc>
          <w:tcPr>
            <w:tcW w:w="3120" w:type="dxa"/>
          </w:tcPr>
          <w:p>
            <w:pPr/>
            <w:r>
              <w:t xml:space="preserve">Outliers</w:t>
            </w:r>
          </w:p>
        </w:tc>
        <w:tc>
          <w:tcPr>
            <w:tcW w:w="3120" w:type="dxa"/>
          </w:tcPr>
          <w:p>
            <w:pPr/>
            <w:r>
              <w:t xml:space="preserve">Same normal-range method as NAV, on the index → flag</w:t>
            </w:r>
          </w:p>
        </w:tc>
      </w:tr>
      <w:tr>
        <w:tc>
          <w:tcPr>
            <w:tcW w:w="3120" w:type="dxa"/>
          </w:tcPr>
          <w:p>
            <w:pPr/>
            <w:r>
              <w:t xml:space="preserve">Benchmark upload</w:t>
            </w:r>
          </w:p>
        </w:tc>
        <w:tc>
          <w:tcPr>
            <w:tcW w:w="3120" w:type="dxa"/>
          </w:tcPr>
          <w:p>
            <w:pPr/>
            <w:r>
              <w:t xml:space="preserve">Overlap match</w:t>
            </w:r>
          </w:p>
        </w:tc>
        <w:tc>
          <w:tcPr>
            <w:tcW w:w="3120" w:type="dxa"/>
          </w:tcPr>
          <w:p>
            <w:pPr/>
            <w:r>
              <w:t xml:space="preserve">Dates already stored must match within 0.01 → else reject file</w:t>
            </w:r>
          </w:p>
        </w:tc>
      </w:tr>
      <w:tr>
        <w:tc>
          <w:tcPr>
            <w:tcW w:w="3120" w:type="dxa"/>
          </w:tcPr>
          <w:p>
            <w:pPr/>
            <w:r>
              <w:t xml:space="preserve">Fund mapping</w:t>
            </w:r>
          </w:p>
        </w:tc>
        <w:tc>
          <w:tcPr>
            <w:tcW w:w="3120" w:type="dxa"/>
          </w:tcPr>
          <w:p>
            <w:pPr/>
            <w:r>
              <w:t xml:space="preserve">Plan type</w:t>
            </w:r>
          </w:p>
        </w:tc>
        <w:tc>
          <w:tcPr>
            <w:tcW w:w="3120" w:type="dxa"/>
          </w:tcPr>
          <w:p>
            <w:pPr/>
            <w:r>
              <w:t xml:space="preserve">Scheme name contains "Direct" and "Growth"</w:t>
            </w:r>
          </w:p>
        </w:tc>
      </w:tr>
      <w:tr>
        <w:tc>
          <w:tcPr>
            <w:tcW w:w="3120" w:type="dxa"/>
          </w:tcPr>
          <w:p>
            <w:pPr/>
            <w:r>
              <w:t xml:space="preserve">AUM, TER</w:t>
            </w:r>
          </w:p>
        </w:tc>
        <w:tc>
          <w:tcPr>
            <w:tcW w:w="3120" w:type="dxa"/>
          </w:tcPr>
          <w:p>
            <w:pPr/>
            <w:r>
              <w:t xml:space="preserve">Units</w:t>
            </w:r>
          </w:p>
        </w:tc>
        <w:tc>
          <w:tcPr>
            <w:tcW w:w="3120" w:type="dxa"/>
          </w:tcPr>
          <w:p>
            <w:pPr/>
            <w:r>
              <w:t xml:space="preserve">AMFI AAUM in Rs lakhs → store in Rs crore</w:t>
            </w:r>
          </w:p>
        </w:tc>
      </w:tr>
      <w:tr>
        <w:tc>
          <w:tcPr>
            <w:tcW w:w="3120" w:type="dxa"/>
          </w:tcPr>
          <w:p>
            <w:pPr/>
            <w:r>
              <w:t xml:space="preserve">Spot check</w:t>
            </w:r>
          </w:p>
        </w:tc>
        <w:tc>
          <w:tcPr>
            <w:tcW w:w="3120" w:type="dxa"/>
          </w:tcPr>
          <w:p>
            <w:pPr/>
            <w:r>
              <w:t xml:space="preserve">Manual</w:t>
            </w:r>
          </w:p>
        </w:tc>
        <w:tc>
          <w:tcPr>
            <w:tcW w:w="3120" w:type="dxa"/>
          </w:tcPr>
          <w:p>
            <w:pPr/>
            <w:r>
              <w:t xml:space="preserve">Monthly: latest NAV of 1 to 2 funds vs AMC website</w:t>
            </w:r>
          </w:p>
        </w:tc>
      </w:tr>
    </w:tbl>
    <w:p>
      <w:pPr/>
      <w:r>
        <w:rPr>
          <w:b/>
        </w:rPr>
        <w:t xml:space="preserve">Normal range method (NAV and benchmark)</w:t>
      </w:r>
    </w:p>
    <w:p>
      <w:pPr>
        <w:pStyle w:val="ListParagraph"/>
        <w:numPr>
          <w:ilvl w:val="0"/>
          <w:numId w:val="4"/>
        </w:numPr>
      </w:pPr>
      <w:r>
        <w:t xml:space="preserve">Daily change = today's value / previous value − 1.</w:t>
      </w:r>
    </w:p>
    <w:p>
      <w:pPr>
        <w:pStyle w:val="ListParagraph"/>
        <w:numPr>
          <w:ilvl w:val="0"/>
          <w:numId w:val="4"/>
        </w:numPr>
      </w:pPr>
      <w:r>
        <w:t xml:space="preserve">Divide by calendar days between the two dates. Arbitrage NAV accrues over weekends, so a Monday move is naturally larger.</w:t>
      </w:r>
    </w:p>
    <w:p>
      <w:pPr>
        <w:pStyle w:val="ListParagraph"/>
        <w:numPr>
          <w:ilvl w:val="0"/>
          <w:numId w:val="4"/>
        </w:numPr>
      </w:pPr>
      <w:r>
        <w:t xml:space="preserve">Normal range = the series' median absolute daily change over the last 250 trading days.</w:t>
      </w:r>
    </w:p>
    <w:p>
      <w:pPr>
        <w:pStyle w:val="ListParagraph"/>
        <w:numPr>
          <w:ilvl w:val="0"/>
          <w:numId w:val="4"/>
        </w:numPr>
      </w:pPr>
      <w:r>
        <w:t xml:space="preserve">Flag if today's change is more than 10× that median.</w:t>
      </w:r>
    </w:p>
    <w:p>
      <w:pPr>
        <w:pStyle w:val="ListParagraph"/>
        <w:numPr>
          <w:ilvl w:val="0"/>
          <w:numId w:val="4"/>
        </w:numPr>
      </w:pPr>
      <w:r>
        <w:t xml:space="preserve">Tune the 10× once on 2019–2026 data, so only a handful of days per fund per year are flagged.</w:t>
      </w:r>
    </w:p>
    <w:p>
      <w:pPr/>
      <w:r>
        <w:t xml:space="preserve">A flag means review, not delete. Small negative days are normal for arbitrage funds; only large ones flag.</w:t>
      </w:r>
    </w:p>
    <w:p>
      <w:pPr/>
      <w:r>
        <w:rPr>
          <w:b/>
        </w:rPr>
        <w:t xml:space="preserve">Overlap match:</w:t>
      </w:r>
      <w:r>
        <w:t xml:space="preserve"> each benchmark file usually repeats dates already stored. Those values must equal the stored ones. A mismatch means a wrong file or a different index version (for example price instead of total return). The file is rejected, and nothing is overwritten.</w:t>
      </w:r>
    </w:p>
    <w:p>
      <w:pPr>
        <w:pStyle w:val="Heading2"/>
      </w:pPr>
      <w:r>
        <w:t xml:space="preserve">Calculations</w:t>
      </w:r>
    </w:p>
    <w:p>
      <w:pPr/>
      <w:r>
        <w:t xml:space="preserve">All returns use direct-plan NAV, so costs are already deducted. Returns over 1 year are annualised (CAGR).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Metric</w:t>
            </w:r>
          </w:p>
        </w:tc>
        <w:tc>
          <w:tcPr>
            <w:tcW w:w="4680" w:type="dxa"/>
            <w:shd w:val="clear" w:color="auto" w:fill="F2F2F2"/>
          </w:tcPr>
          <w:p>
            <w:pPr/>
            <w:r>
              <w:t xml:space="preserve">Definition</w:t>
            </w:r>
          </w:p>
        </w:tc>
      </w:tr>
      <w:tr>
        <w:tc>
          <w:tcPr>
            <w:tcW w:w="4680" w:type="dxa"/>
          </w:tcPr>
          <w:p>
            <w:pPr/>
            <w:r>
              <w:t xml:space="preserve">Point-to-point return</w:t>
            </w:r>
          </w:p>
        </w:tc>
        <w:tc>
          <w:tcPr>
            <w:tcW w:w="4680" w:type="dxa"/>
          </w:tcPr>
          <w:p>
            <w:pPr/>
            <w:r>
              <w:t xml:space="preserve">NAV(end) / NAV(start), annualised, for 1Y, 3Y, 5Y</w:t>
            </w:r>
          </w:p>
        </w:tc>
      </w:tr>
      <w:tr>
        <w:tc>
          <w:tcPr>
            <w:tcW w:w="4680" w:type="dxa"/>
          </w:tcPr>
          <w:p>
            <w:pPr/>
            <w:r>
              <w:t xml:space="preserve">Rolling return</w:t>
            </w:r>
          </w:p>
        </w:tc>
        <w:tc>
          <w:tcPr>
            <w:tcW w:w="4680" w:type="dxa"/>
          </w:tcPr>
          <w:p>
            <w:pPr/>
            <w:r>
              <w:t xml:space="preserve">Return over each 1Y, 3Y, 5Y window, one window per trading day</w:t>
            </w:r>
          </w:p>
        </w:tc>
      </w:tr>
      <w:tr>
        <w:tc>
          <w:tcPr>
            <w:tcW w:w="4680" w:type="dxa"/>
          </w:tcPr>
          <w:p>
            <w:pPr/>
            <w:r>
              <w:t xml:space="preserve">Rolling stats</w:t>
            </w:r>
          </w:p>
        </w:tc>
        <w:tc>
          <w:tcPr>
            <w:tcW w:w="4680" w:type="dxa"/>
          </w:tcPr>
          <w:p>
            <w:pPr/>
            <w:r>
              <w:t xml:space="preserve">Average, median, min, max, % of windows above a chosen level</w:t>
            </w:r>
          </w:p>
        </w:tc>
      </w:tr>
      <w:tr>
        <w:tc>
          <w:tcPr>
            <w:tcW w:w="4680" w:type="dxa"/>
          </w:tcPr>
          <w:p>
            <w:pPr/>
            <w:r>
              <w:t xml:space="preserve">Tracking difference</w:t>
            </w:r>
          </w:p>
        </w:tc>
        <w:tc>
          <w:tcPr>
            <w:tcW w:w="4680" w:type="dxa"/>
          </w:tcPr>
          <w:p>
            <w:pPr/>
            <w:r>
              <w:t xml:space="preserve">Fund return minus benchmark return, same window</w:t>
            </w:r>
          </w:p>
        </w:tc>
      </w:tr>
      <w:tr>
        <w:tc>
          <w:tcPr>
            <w:tcW w:w="4680" w:type="dxa"/>
          </w:tcPr>
          <w:p>
            <w:pPr/>
            <w:r>
              <w:t xml:space="preserve">Rolling tracking difference</w:t>
            </w:r>
          </w:p>
        </w:tc>
        <w:tc>
          <w:tcPr>
            <w:tcW w:w="4680" w:type="dxa"/>
          </w:tcPr>
          <w:p>
            <w:pPr/>
            <w:r>
              <w:t xml:space="preserve">Tracking difference for every rolling window</w:t>
            </w:r>
          </w:p>
        </w:tc>
      </w:tr>
      <w:tr>
        <w:tc>
          <w:tcPr>
            <w:tcW w:w="4680" w:type="dxa"/>
          </w:tcPr>
          <w:p>
            <w:pPr/>
            <w:r>
              <w:t xml:space="preserve">TER</w:t>
            </w:r>
          </w:p>
        </w:tc>
        <w:tc>
          <w:tcPr>
            <w:tcW w:w="4680" w:type="dxa"/>
          </w:tcPr>
          <w:p>
            <w:pPr/>
            <w:r>
              <w:t xml:space="preserve">Base and total TER, latest and trend</w:t>
            </w:r>
          </w:p>
        </w:tc>
      </w:tr>
      <w:tr>
        <w:tc>
          <w:tcPr>
            <w:tcW w:w="4680" w:type="dxa"/>
          </w:tcPr>
          <w:p>
            <w:pPr/>
            <w:r>
              <w:t xml:space="preserve">AUM</w:t>
            </w:r>
          </w:p>
        </w:tc>
        <w:tc>
          <w:tcPr>
            <w:tcW w:w="4680" w:type="dxa"/>
          </w:tcPr>
          <w:p>
            <w:pPr/>
            <w:r>
              <w:t xml:space="preserve">Latest quarterly AAUM, in Rs crore</w:t>
            </w:r>
          </w:p>
        </w:tc>
      </w:tr>
    </w:tbl>
    <w:p>
      <w:pPr>
        <w:pStyle w:val="ListParagraph"/>
        <w:numPr>
          <w:ilvl w:val="0"/>
          <w:numId w:val="5"/>
        </w:numPr>
      </w:pPr>
      <w:r>
        <w:t xml:space="preserve">Missing date (holiday): use the nearest earlier value.</w:t>
      </w:r>
    </w:p>
    <w:p>
      <w:pPr>
        <w:pStyle w:val="ListParagraph"/>
        <w:numPr>
          <w:ilvl w:val="0"/>
          <w:numId w:val="5"/>
        </w:numPr>
      </w:pPr>
      <w:r>
        <w:t xml:space="preserve">A window needs a full history. Data starts 01-Jan-2019, so the chart's first 1Y point is Jan 2020, 3Y is Jan 2022, 5Y is Jan 2024.</w:t>
      </w:r>
    </w:p>
    <w:p>
      <w:pPr>
        <w:pStyle w:val="Heading2"/>
      </w:pPr>
      <w:r>
        <w:t xml:space="preserve">Screens and requirements</w:t>
      </w:r>
    </w:p>
    <w:p>
      <w:pPr/>
      <w:r>
        <w:t xml:space="preserve">v0 has three screens. Every table can be sorted and exported to CSV.</w:t>
      </w:r>
    </w:p>
    <w:p>
      <w:pPr/>
      <w:r>
        <w:rPr>
          <w:b/>
        </w:rPr>
        <w:t xml:space="preserve">Common filter</w:t>
      </w:r>
    </w:p>
    <w:p>
      <w:pPr>
        <w:pStyle w:val="ListParagraph"/>
        <w:numPr>
          <w:ilvl w:val="0"/>
          <w:numId w:val="6"/>
        </w:numPr>
      </w:pPr>
      <w:r>
        <w:rPr>
          <w:b/>
        </w:rPr>
        <w:t xml:space="preserve">Fund category:</w:t>
      </w:r>
      <w:r>
        <w:t xml:space="preserve"> single-select, on Fund comparison and Rolling returns. v0 has one value: Arbitrage. New categories appear here as they are added.</w:t>
      </w:r>
    </w:p>
    <w:p>
      <w:pPr>
        <w:pStyle w:val="ListParagraph"/>
        <w:numPr>
          <w:ilvl w:val="0"/>
          <w:numId w:val="6"/>
        </w:numPr>
      </w:pPr>
      <w:r>
        <w:t xml:space="preserve">The funds list and all tables show only funds in the selected category.</w:t>
      </w:r>
    </w:p>
    <w:p>
      <w:pPr/>
      <w:r>
        <w:rPr>
          <w:b/>
        </w:rPr>
        <w:t xml:space="preserve">1. Fund comparison</w:t>
      </w:r>
    </w:p>
    <w:p>
      <w:pPr>
        <w:pStyle w:val="ListParagraph"/>
        <w:numPr>
          <w:ilvl w:val="0"/>
          <w:numId w:val="7"/>
        </w:numPr>
      </w:pPr>
      <w:r>
        <w:t xml:space="preserve">One row per fund: AUM, base TER, total TER, exit load, manager, launch date.</w:t>
      </w:r>
    </w:p>
    <w:p>
      <w:pPr>
        <w:pStyle w:val="ListParagraph"/>
        <w:numPr>
          <w:ilvl w:val="0"/>
          <w:numId w:val="7"/>
        </w:numPr>
      </w:pPr>
      <w:r>
        <w:t xml:space="preserve">Returns: 1Y, 3Y, 5Y point-to-point, with tracking difference vs benchmark.</w:t>
      </w:r>
    </w:p>
    <w:p>
      <w:pPr>
        <w:pStyle w:val="ListParagraph"/>
        <w:numPr>
          <w:ilvl w:val="0"/>
          <w:numId w:val="7"/>
        </w:numPr>
      </w:pPr>
      <w:r>
        <w:t xml:space="preserve">Flags: exit load above 0.25%, data check failures.</w:t>
      </w:r>
    </w:p>
    <w:p>
      <w:pPr/>
      <w:r>
        <w:rPr>
          <w:b/>
        </w:rPr>
        <w:t xml:space="preserve">2. Rolling returns</w:t>
      </w:r>
    </w:p>
    <w:p>
      <w:pPr>
        <w:pStyle w:val="ListParagraph"/>
        <w:numPr>
          <w:ilvl w:val="0"/>
          <w:numId w:val="8"/>
        </w:numPr>
      </w:pPr>
      <w:r>
        <w:t xml:space="preserve">Funds: multi-select, pick 1 or more (up to 8). Window: 1Y, 3Y or 5Y.</w:t>
      </w:r>
    </w:p>
    <w:p>
      <w:pPr>
        <w:pStyle w:val="ListParagraph"/>
        <w:numPr>
          <w:ilvl w:val="0"/>
          <w:numId w:val="8"/>
        </w:numPr>
      </w:pPr>
      <w:r>
        <w:rPr>
          <w:b/>
        </w:rPr>
        <w:t xml:space="preserve">Time-series chart:</w:t>
      </w:r>
      <w:r>
        <w:t xml:space="preserve"> rolling return per day for each selected fund, from 01-Jan-2019 data.</w:t>
      </w:r>
    </w:p>
    <w:p>
      <w:pPr>
        <w:pStyle w:val="ListParagraph"/>
        <w:numPr>
          <w:ilvl w:val="0"/>
          <w:numId w:val="8"/>
        </w:numPr>
      </w:pPr>
      <w:r>
        <w:rPr>
          <w:b/>
        </w:rPr>
        <w:t xml:space="preserve">Benchmark line</w:t>
      </w:r>
      <w:r>
        <w:t xml:space="preserve"> on the same chart, styled differently.</w:t>
      </w:r>
    </w:p>
    <w:p>
      <w:pPr>
        <w:pStyle w:val="ListParagraph"/>
        <w:numPr>
          <w:ilvl w:val="0"/>
          <w:numId w:val="8"/>
        </w:numPr>
      </w:pPr>
      <w:r>
        <w:t xml:space="preserve">Stats table under the chart: average, median, min, max, % of windows above a chosen level, average tracking difference.</w:t>
      </w:r>
    </w:p>
    <w:p>
      <w:pPr>
        <w:pStyle w:val="ListParagraph"/>
        <w:numPr>
          <w:ilvl w:val="0"/>
          <w:numId w:val="8"/>
        </w:numPr>
      </w:pPr>
      <w:r>
        <w:t xml:space="preserve">Hover shows date, fund, value.</w:t>
      </w:r>
    </w:p>
    <w:p>
      <w:pPr/>
      <w:r>
        <w:rPr>
          <w:b/>
        </w:rPr>
        <w:t xml:space="preserve">3. Data health</w:t>
      </w:r>
    </w:p>
    <w:p>
      <w:pPr>
        <w:pStyle w:val="ListParagraph"/>
        <w:numPr>
          <w:ilvl w:val="0"/>
          <w:numId w:val="9"/>
        </w:numPr>
      </w:pPr>
      <w:r>
        <w:t xml:space="preserve">Last refresh date per dataset.</w:t>
      </w:r>
    </w:p>
    <w:p>
      <w:pPr>
        <w:pStyle w:val="ListParagraph"/>
        <w:numPr>
          <w:ilvl w:val="0"/>
          <w:numId w:val="9"/>
        </w:numPr>
      </w:pPr>
      <w:r>
        <w:t xml:space="preserve">Validation results and any flags.</w:t>
      </w:r>
    </w:p>
    <w:p>
      <w:pPr>
        <w:pStyle w:val="ListParagraph"/>
        <w:numPr>
          <w:ilvl w:val="0"/>
          <w:numId w:val="9"/>
        </w:numPr>
      </w:pPr>
      <w:r>
        <w:t xml:space="preserve">Benchmark CSV upload button.</w:t>
      </w:r>
    </w:p>
    <w:p>
      <w:pPr/>
      <w:r>
        <w:rPr>
          <w:b/>
        </w:rPr>
        <w:t xml:space="preserve">Daily refresh</w:t>
      </w:r>
    </w:p>
    <w:p>
      <w:pPr>
        <w:pStyle w:val="ListParagraph"/>
        <w:numPr>
          <w:ilvl w:val="0"/>
          <w:numId w:val="10"/>
        </w:numPr>
      </w:pPr>
      <w:r>
        <w:t xml:space="preserve">One script pulls new NAV each day; TER monthly; AUM quarterly.</w:t>
      </w:r>
    </w:p>
    <w:p>
      <w:pPr>
        <w:pStyle w:val="ListParagraph"/>
        <w:numPr>
          <w:ilvl w:val="0"/>
          <w:numId w:val="10"/>
        </w:numPr>
      </w:pPr>
      <w:r>
        <w:t xml:space="preserve">Missed days are caught up on the next run.</w:t>
      </w:r>
    </w:p>
    <w:p>
      <w:pPr>
        <w:pStyle w:val="Heading2"/>
      </w:pPr>
      <w:r>
        <w:t xml:space="preserve">Mock</w:t>
      </w:r>
    </w:p>
    <w:p>
      <w:pPr/>
      <w:r>
        <w:drawing>
          <wp:inline distT="0" distB="0" distL="0" distR="0">
            <wp:extent cx="5486400" cy="3951514"/>
            <wp:docPr id="1" name="image1" descr="wireframe · Rolling returns screen · illustrative lines, not real data"/>
            <a:graphic xmlns:a="http://schemas.openxmlformats.org/drawingml/2006/main">
              <a:graphicData uri="http://schemas.openxmlformats.org/drawingml/2006/picture">
                <pic:pic xmlns:pic="http://schemas.openxmlformats.org/drawingml/2006/picture">
                  <pic:nvPicPr>
                    <pic:cNvPr id="1" name="image1" descr="wireframe · Rolling returns screen · illustrative lines, not real data"/>
                    <pic:cNvPicPr/>
                  </pic:nvPicPr>
                  <pic:blipFill>
                    <a:blip r:embed="rId5"/>
                    <a:stretch>
                      <a:fillRect/>
                    </a:stretch>
                  </pic:blipFill>
                  <pic:spPr>
                    <a:xfrm>
                      <a:off x="0" y="0"/>
                      <a:ext cx="5486400" cy="3951514"/>
                    </a:xfrm>
                    <a:prstGeom prst="rect">
                      <a:avLst/>
                    </a:prstGeom>
                  </pic:spPr>
                </pic:pic>
              </a:graphicData>
            </a:graphic>
          </wp:inline>
        </w:drawing>
      </w:r>
    </w:p>
    <w:p>
      <w:pPr/>
      <w:r>
        <w:t xml:space="preserve">wireframe · Rolling returns screen · illustrative lines, not real data</w:t>
      </w:r>
    </w:p>
    <w:p>
      <w:pPr/>
      <w:r>
        <w:t xml:space="preserve">The chart shows each fund's rolling return day by day, with the benchmark dashed. The stats table under it summarises the same windows. The Fund comparison screen is a plain sortable table with the columns listed above.</w:t>
      </w:r>
    </w:p>
    <w:p>
      <w:pPr/>
      <w:r>
        <w:drawing>
          <wp:inline distT="0" distB="0" distL="0" distR="0">
            <wp:extent cx="5486400" cy="2881992"/>
            <wp:docPr id="2" name="image2" descr="wireframe · Fund comparison screen · placeholder values"/>
            <a:graphic xmlns:a="http://schemas.openxmlformats.org/drawingml/2006/main">
              <a:graphicData uri="http://schemas.openxmlformats.org/drawingml/2006/picture">
                <pic:pic xmlns:pic="http://schemas.openxmlformats.org/drawingml/2006/picture">
                  <pic:nvPicPr>
                    <pic:cNvPr id="2" name="image2" descr="wireframe · Fund comparison screen · placeholder values"/>
                    <pic:cNvPicPr/>
                  </pic:nvPicPr>
                  <pic:blipFill>
                    <a:blip r:embed="rId6"/>
                    <a:stretch>
                      <a:fillRect/>
                    </a:stretch>
                  </pic:blipFill>
                  <pic:spPr>
                    <a:xfrm>
                      <a:off x="0" y="0"/>
                      <a:ext cx="5486400" cy="2881992"/>
                    </a:xfrm>
                    <a:prstGeom prst="rect">
                      <a:avLst/>
                    </a:prstGeom>
                  </pic:spPr>
                </pic:pic>
              </a:graphicData>
            </a:graphic>
          </wp:inline>
        </w:drawing>
      </w:r>
    </w:p>
    <w:p>
      <w:pPr/>
      <w:r>
        <w:t xml:space="preserve">wireframe · Fund comparison screen · placeholder values</w:t>
      </w:r>
    </w:p>
    <w:p>
      <w:pPr/>
      <w:r>
        <w:t xml:space="preserve">The Fund comparison screen is the landing page: one sortable row per fund, with a flag for anything that needs a look.</w:t>
      </w:r>
    </w:p>
    <w:p>
      <w:pPr/>
      <w:r>
        <w:drawing>
          <wp:inline distT="0" distB="0" distL="0" distR="0">
            <wp:extent cx="5486400" cy="3233057"/>
            <wp:docPr id="3" name="image3" descr="wireframe · Data health screen · placeholder dates and flags"/>
            <a:graphic xmlns:a="http://schemas.openxmlformats.org/drawingml/2006/main">
              <a:graphicData uri="http://schemas.openxmlformats.org/drawingml/2006/picture">
                <pic:pic xmlns:pic="http://schemas.openxmlformats.org/drawingml/2006/picture">
                  <pic:nvPicPr>
                    <pic:cNvPr id="3" name="image3" descr="wireframe · Data health screen · placeholder dates and flags"/>
                    <pic:cNvPicPr/>
                  </pic:nvPicPr>
                  <pic:blipFill>
                    <a:blip r:embed="rId7"/>
                    <a:stretch>
                      <a:fillRect/>
                    </a:stretch>
                  </pic:blipFill>
                  <pic:spPr>
                    <a:xfrm>
                      <a:off x="0" y="0"/>
                      <a:ext cx="5486400" cy="3233057"/>
                    </a:xfrm>
                    <a:prstGeom prst="rect">
                      <a:avLst/>
                    </a:prstGeom>
                  </pic:spPr>
                </pic:pic>
              </a:graphicData>
            </a:graphic>
          </wp:inline>
        </w:drawing>
      </w:r>
    </w:p>
    <w:p>
      <w:pPr/>
      <w:r>
        <w:t xml:space="preserve">wireframe · Data health screen · placeholder dates and flags</w:t>
      </w:r>
    </w:p>
    <w:p>
      <w:pPr/>
      <w:r>
        <w:t xml:space="preserve">The Data health screen shows how fresh each dataset is, lists open flags to review, and takes the monthly benchmark upload.</w:t>
      </w:r>
    </w:p>
    <w:p>
      <w:pPr>
        <w:pStyle w:val="Heading2"/>
      </w:pPr>
      <w:r>
        <w:t xml:space="preserve">Tech stack and storage</w:t>
      </w:r>
    </w:p>
    <w:p>
      <w:pPr/>
      <w:r>
        <w:t xml:space="preserve">Python, pandas and Streamlit, with one SQLite file on the laptop.</w:t>
      </w:r>
    </w:p>
    <w:p>
      <w:pPr>
        <w:pStyle w:val="ListParagraph"/>
        <w:numPr>
          <w:ilvl w:val="0"/>
          <w:numId w:val="11"/>
        </w:numPr>
      </w:pPr>
      <w:r>
        <w:rPr>
          <w:b/>
        </w:rPr>
        <w:t xml:space="preserve">Calculations:</w:t>
      </w:r>
      <w:r>
        <w:t xml:space="preserve"> a separate Python module, not inside UI code. A future API or chatbot reuses it as is.</w:t>
      </w:r>
    </w:p>
    <w:p>
      <w:pPr>
        <w:pStyle w:val="ListParagraph"/>
        <w:numPr>
          <w:ilvl w:val="0"/>
          <w:numId w:val="11"/>
        </w:numPr>
      </w:pPr>
      <w:r>
        <w:rPr>
          <w:b/>
        </w:rPr>
        <w:t xml:space="preserve">Storage:</w:t>
      </w:r>
      <w:r>
        <w:t xml:space="preserve"> SQLite file. 8 funds, 5+ years is about 1 to 2 MB. No server, no setup.</w:t>
      </w:r>
    </w:p>
    <w:p>
      <w:pPr>
        <w:pStyle w:val="ListParagraph"/>
        <w:numPr>
          <w:ilvl w:val="0"/>
          <w:numId w:val="11"/>
        </w:numPr>
      </w:pPr>
      <w:r>
        <w:rPr>
          <w:b/>
        </w:rPr>
        <w:t xml:space="preserve">Tables:</w:t>
      </w:r>
      <w:r>
        <w:t xml:space="preserve"> funds, nav, benchmark, ter, aum, validation_log.</w:t>
      </w:r>
    </w:p>
    <w:p>
      <w:pPr>
        <w:pStyle w:val="ListParagraph"/>
        <w:numPr>
          <w:ilvl w:val="0"/>
          <w:numId w:val="11"/>
        </w:numPr>
      </w:pPr>
      <w:r>
        <w:rPr>
          <w:b/>
        </w:rPr>
        <w:t xml:space="preserve">Backup:</w:t>
      </w:r>
      <w:r>
        <w:t xml:space="preserve"> copy the .db file to Google Drive weekly.</w:t>
      </w:r>
    </w:p>
    <w:p>
      <w:pPr>
        <w:pStyle w:val="ListParagraph"/>
        <w:numPr>
          <w:ilvl w:val="0"/>
          <w:numId w:val="11"/>
        </w:numPr>
      </w:pPr>
      <w:r>
        <w:rPr>
          <w:b/>
        </w:rPr>
        <w:t xml:space="preserve">Later:</w:t>
      </w:r>
      <w:r>
        <w:t xml:space="preserve"> FastAPI over the module when a second consumer appears. Postgres and a cloud server when others need access.</w:t>
      </w:r>
    </w:p>
    <w:p>
      <w:pPr>
        <w:pStyle w:val="Heading2"/>
      </w:pPr>
      <w:r>
        <w:t xml:space="preserve">Out of scope for v0</w:t>
      </w:r>
    </w:p>
    <w:p>
      <w:pPr>
        <w:pStyle w:val="ListParagraph"/>
        <w:numPr>
          <w:ilvl w:val="0"/>
          <w:numId w:val="12"/>
        </w:numPr>
      </w:pPr>
      <w:r>
        <w:t xml:space="preserve">Monthly portfolio holdings (hedge %, debt quality). Planned for v2, with AI extraction.</w:t>
      </w:r>
    </w:p>
    <w:p>
      <w:pPr>
        <w:pStyle w:val="ListParagraph"/>
        <w:numPr>
          <w:ilvl w:val="0"/>
          <w:numId w:val="12"/>
        </w:numPr>
      </w:pPr>
      <w:r>
        <w:t xml:space="preserve">Monthly month-end AUM from factsheets. TER breakdown and quarterly Average AUM are built but switched off for now (config [settings.features]).</w:t>
      </w:r>
    </w:p>
    <w:p>
      <w:pPr>
        <w:pStyle w:val="ListParagraph"/>
        <w:numPr>
          <w:ilvl w:val="0"/>
          <w:numId w:val="12"/>
        </w:numPr>
      </w:pPr>
      <w:r>
        <w:t xml:space="preserve">Other fund categories.</w:t>
      </w:r>
    </w:p>
    <w:p>
      <w:pPr>
        <w:pStyle w:val="ListParagraph"/>
        <w:numPr>
          <w:ilvl w:val="0"/>
          <w:numId w:val="12"/>
        </w:numPr>
      </w:pPr>
      <w:r>
        <w:t xml:space="preserve">External users, login, chatbot.</w:t>
      </w:r>
    </w:p>
    <w:p>
      <w:pPr>
        <w:pStyle w:val="ListParagraph"/>
        <w:numPr>
          <w:ilvl w:val="0"/>
          <w:numId w:val="12"/>
        </w:numPr>
      </w:pPr>
      <w:r>
        <w:t xml:space="preserve">Scores or buy recommendations.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amfiindia.com/ter-of-mf-schemes" TargetMode="External"/><Relationship Id="rId4" Type="http://schemas.openxmlformats.org/officeDocument/2006/relationships/hyperlink" Target="https://www.amfiindia.com/aum-data/average-aum"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Arbitrage Fund Analyser – v0 Spec</dc:title>
  <dc:description>Claude Docs node/54e601b2-6c20@19 docx-w6</dc:description>
  <cp:revision>19</cp:revision>
</cp:coreProperties>
</file>