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footer1.xml.rels" ContentType="application/vnd.openxmlformats-package.relationships+xml"/>
  <Override PartName="/word/_rels/document.xml.rels" ContentType="application/vnd.openxmlformats-package.relationships+xml"/>
  <Override PartName="/word/media/image1.png" ContentType="image/png"/>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2B2B2B"/>
  <w:body>
    <w:p>
      <w:pPr>
        <w:pStyle w:val="Heading2"/>
        <w:bidi w:val="0"/>
        <w:spacing w:before="200" w:after="120"/>
        <w:jc w:val="start"/>
        <w:rPr>
          <w:rFonts w:ascii="Manrope Medium" w:hAnsi="Manrope Medium"/>
          <w:b/>
          <w:bCs/>
        </w:rPr>
      </w:pPr>
      <w:r>
        <w:rPr>
          <w:rFonts w:ascii="Manrope Medium" w:hAnsi="Manrope Medium"/>
          <w:b/>
          <w:bCs/>
        </w:rPr>
      </w:r>
    </w:p>
    <w:p>
      <w:pPr>
        <w:pStyle w:val="BodyText"/>
        <w:bidi w:val="0"/>
        <w:spacing w:before="200" w:after="120"/>
        <w:jc w:val="start"/>
        <w:rPr>
          <w:rFonts w:ascii="Manrope Medium" w:hAnsi="Manrope Medium"/>
          <w:b/>
          <w:bCs/>
        </w:rPr>
      </w:pPr>
      <w:r>
        <w:rPr>
          <w:rFonts w:ascii="Manrope Medium" w:hAnsi="Manrope Medium"/>
          <w:b/>
          <w:bCs/>
        </w:rPr>
      </w:r>
    </w:p>
    <w:p>
      <w:pPr>
        <w:pStyle w:val="BodyText"/>
        <w:bidi w:val="0"/>
        <w:spacing w:before="200" w:after="120"/>
        <w:jc w:val="start"/>
        <w:rPr>
          <w:rFonts w:ascii="Manrope Medium" w:hAnsi="Manrope Medium"/>
          <w:b/>
          <w:bCs/>
        </w:rPr>
      </w:pPr>
      <w:r>
        <w:rPr>
          <w:rFonts w:ascii="Manrope Medium" w:hAnsi="Manrope Medium"/>
          <w:b/>
          <w:bCs/>
        </w:rPr>
      </w:r>
    </w:p>
    <w:p>
      <w:pPr>
        <w:pStyle w:val="BodyText"/>
        <w:bidi w:val="0"/>
        <w:spacing w:before="200" w:after="120"/>
        <w:jc w:val="start"/>
        <w:rPr>
          <w:rFonts w:ascii="Manrope Medium" w:hAnsi="Manrope Medium"/>
          <w:b/>
          <w:bCs/>
        </w:rPr>
      </w:pPr>
      <w:r>
        <w:rPr>
          <w:rFonts w:ascii="Manrope Medium" w:hAnsi="Manrope Medium"/>
          <w:b/>
          <w:bCs/>
        </w:rPr>
      </w:r>
    </w:p>
    <w:p>
      <w:pPr>
        <w:pStyle w:val="BodyText"/>
        <w:bidi w:val="0"/>
        <w:spacing w:before="200" w:after="120"/>
        <w:jc w:val="center"/>
        <w:rPr/>
      </w:pPr>
      <w:bookmarkStart w:id="0" w:name="__RefHeading___Toc399_1632554855"/>
      <w:bookmarkEnd w:id="0"/>
      <w:r>
        <w:rPr>
          <w:rStyle w:val="Strong"/>
          <w:rFonts w:ascii="Manrope Medium" w:hAnsi="Manrope Medium"/>
          <w:b/>
          <w:bCs/>
          <w:sz w:val="56"/>
          <w:szCs w:val="56"/>
        </w:rPr>
        <w:t>QUANTILLON PROTOCOL</w:t>
      </w:r>
    </w:p>
    <w:p>
      <w:pPr>
        <w:pStyle w:val="BodyText"/>
        <w:bidi w:val="0"/>
        <w:spacing w:before="200" w:after="120"/>
        <w:jc w:val="center"/>
        <w:rPr/>
      </w:pPr>
      <w:r>
        <w:rPr>
          <w:rStyle w:val="Strong"/>
          <w:rFonts w:ascii="Manrope Medium" w:hAnsi="Manrope Medium"/>
          <w:b/>
          <w:bCs/>
          <w:sz w:val="44"/>
          <w:szCs w:val="44"/>
        </w:rPr>
        <w:t>WHITEPAPER</w:t>
      </w:r>
    </w:p>
    <w:p>
      <w:pPr>
        <w:pStyle w:val="BodyText"/>
        <w:bidi w:val="0"/>
        <w:spacing w:before="200" w:after="120"/>
        <w:jc w:val="center"/>
        <w:rPr/>
      </w:pPr>
      <w:r>
        <w:drawing>
          <wp:anchor behindDoc="0" distT="0" distB="0" distL="0" distR="0" simplePos="0" locked="0" layoutInCell="0" allowOverlap="1" relativeHeight="2">
            <wp:simplePos x="0" y="0"/>
            <wp:positionH relativeFrom="column">
              <wp:posOffset>0</wp:posOffset>
            </wp:positionH>
            <wp:positionV relativeFrom="paragraph">
              <wp:posOffset>1152525</wp:posOffset>
            </wp:positionV>
            <wp:extent cx="6120130" cy="303784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120130" cy="3037840"/>
                    </a:xfrm>
                    <a:prstGeom prst="rect">
                      <a:avLst/>
                    </a:prstGeom>
                  </pic:spPr>
                </pic:pic>
              </a:graphicData>
            </a:graphic>
          </wp:anchor>
        </w:drawing>
      </w:r>
      <w:r>
        <w:rPr>
          <w:rStyle w:val="Strong"/>
          <w:rFonts w:ascii="Manrope Medium" w:hAnsi="Manrope Medium"/>
          <w:b/>
          <w:bCs/>
        </w:rPr>
        <w:t xml:space="preserve">15th of July </w:t>
      </w:r>
      <w:r>
        <w:rPr>
          <w:rStyle w:val="Strong"/>
          <w:rFonts w:ascii="Manrope Medium" w:hAnsi="Manrope Medium"/>
          <w:b/>
          <w:bCs/>
        </w:rPr>
        <w:t>2025</w:t>
      </w:r>
    </w:p>
    <w:p>
      <w:pPr>
        <w:pStyle w:val="BodyText"/>
        <w:bidi w:val="0"/>
        <w:spacing w:before="200" w:after="120"/>
        <w:jc w:val="center"/>
        <w:rPr/>
      </w:pPr>
      <w:r>
        <w:rPr>
          <w:rStyle w:val="Strong"/>
          <w:rFonts w:ascii="Manrope Medium" w:hAnsi="Manrope Medium"/>
          <w:b/>
          <w:bCs/>
          <w:sz w:val="18"/>
          <w:szCs w:val="18"/>
        </w:rPr>
        <w:t>version 1.2 – Revised on 22 August 2025</w:t>
      </w:r>
    </w:p>
    <w:p>
      <w:pPr>
        <w:pStyle w:val="BodyText"/>
        <w:bidi w:val="0"/>
        <w:spacing w:before="200" w:after="120"/>
        <w:jc w:val="center"/>
        <w:rPr>
          <w:rFonts w:ascii="Manrope Medium" w:hAnsi="Manrope Medium"/>
        </w:rPr>
      </w:pPr>
      <w:r>
        <w:rPr>
          <w:rFonts w:ascii="Manrope Medium" w:hAnsi="Manrope Medium"/>
        </w:rPr>
      </w:r>
    </w:p>
    <w:sdt>
      <w:sdtPr>
        <w:docPartObj>
          <w:docPartGallery w:val="Table of Contents"/>
          <w:docPartUnique w:val="true"/>
        </w:docPartObj>
      </w:sdtPr>
      <w:sdtContent>
        <w:p>
          <w:pPr>
            <w:pStyle w:val="TOCHeading"/>
            <w:rPr/>
          </w:pPr>
          <w:r>
            <w:br w:type="page"/>
          </w:r>
          <w:r>
            <w:rPr/>
            <w:t>Table of contents</w:t>
          </w:r>
        </w:p>
        <w:p>
          <w:pPr>
            <w:pStyle w:val="TOC2"/>
            <w:tabs>
              <w:tab w:val="clear" w:pos="9355"/>
              <w:tab w:val="right" w:pos="9637" w:leader="dot"/>
            </w:tabs>
            <w:rPr/>
          </w:pPr>
          <w:r>
            <w:fldChar w:fldCharType="begin"/>
          </w:r>
          <w:r>
            <w:rPr>
              <w:rStyle w:val="Sautdindex"/>
            </w:rPr>
            <w:instrText xml:space="preserve"> TOC \f \o "1-9" \h</w:instrText>
          </w:r>
          <w:r>
            <w:rPr>
              <w:rStyle w:val="Sautdindex"/>
            </w:rPr>
            <w:fldChar w:fldCharType="separate"/>
          </w:r>
          <w:hyperlink w:anchor="__RefHeading___Toc2253_3828683095">
            <w:r>
              <w:rPr>
                <w:rStyle w:val="Sautdindex"/>
              </w:rPr>
              <w:t>Document History</w:t>
              <w:tab/>
              <w:t>4</w:t>
            </w:r>
          </w:hyperlink>
        </w:p>
        <w:p>
          <w:pPr>
            <w:pStyle w:val="TOC2"/>
            <w:tabs>
              <w:tab w:val="clear" w:pos="9355"/>
              <w:tab w:val="right" w:pos="9637" w:leader="dot"/>
            </w:tabs>
            <w:rPr/>
          </w:pPr>
          <w:hyperlink w:anchor="__RefHeading___Toc421_1632554855">
            <w:r>
              <w:rPr>
                <w:rStyle w:val="Sautdindex"/>
              </w:rPr>
              <w:t>1. Executive Summary</w:t>
              <w:tab/>
              <w:t>5</w:t>
            </w:r>
          </w:hyperlink>
        </w:p>
        <w:p>
          <w:pPr>
            <w:pStyle w:val="TOC2"/>
            <w:tabs>
              <w:tab w:val="clear" w:pos="9355"/>
              <w:tab w:val="right" w:pos="9637" w:leader="dot"/>
            </w:tabs>
            <w:rPr/>
          </w:pPr>
          <w:hyperlink w:anchor="__RefHeading___Toc423_1632554855">
            <w:r>
              <w:rPr>
                <w:rStyle w:val="Sautdindex"/>
              </w:rPr>
              <w:t>2. Macro &amp; Regulatory Context</w:t>
              <w:tab/>
              <w:t>7</w:t>
            </w:r>
          </w:hyperlink>
        </w:p>
        <w:p>
          <w:pPr>
            <w:pStyle w:val="TOC3"/>
            <w:tabs>
              <w:tab w:val="clear" w:pos="9071"/>
              <w:tab w:val="right" w:pos="9637" w:leader="dot"/>
            </w:tabs>
            <w:rPr/>
          </w:pPr>
          <w:hyperlink w:anchor="__RefHeading___Toc425_1632554855">
            <w:r>
              <w:rPr>
                <w:rStyle w:val="Sautdindex"/>
              </w:rPr>
              <w:t>2.1 The Eurozone’s Monetary Landscape: A Fragile Equilibrium</w:t>
              <w:tab/>
              <w:t>7</w:t>
            </w:r>
          </w:hyperlink>
        </w:p>
        <w:p>
          <w:pPr>
            <w:pStyle w:val="TOC3"/>
            <w:tabs>
              <w:tab w:val="clear" w:pos="9071"/>
              <w:tab w:val="right" w:pos="9637" w:leader="dot"/>
            </w:tabs>
            <w:rPr/>
          </w:pPr>
          <w:hyperlink w:anchor="__RefHeading___Toc427_1632554855">
            <w:r>
              <w:rPr>
                <w:rStyle w:val="Sautdindex"/>
              </w:rPr>
              <w:t>2.2 The Case for Euro-Native Instruments: Yield, Safety, and Monetary Sovereignty</w:t>
              <w:tab/>
              <w:t>7</w:t>
            </w:r>
          </w:hyperlink>
        </w:p>
        <w:p>
          <w:pPr>
            <w:pStyle w:val="TOC3"/>
            <w:tabs>
              <w:tab w:val="clear" w:pos="9071"/>
              <w:tab w:val="right" w:pos="9637" w:leader="dot"/>
            </w:tabs>
            <w:rPr/>
          </w:pPr>
          <w:hyperlink w:anchor="__RefHeading___Toc429_1632554855">
            <w:r>
              <w:rPr>
                <w:rStyle w:val="Sautdindex"/>
              </w:rPr>
              <w:t>2.3 Regulatory Context: MiCA and the Exemption Framework</w:t>
              <w:tab/>
              <w:t>8</w:t>
            </w:r>
          </w:hyperlink>
        </w:p>
        <w:p>
          <w:pPr>
            <w:pStyle w:val="TOC2"/>
            <w:tabs>
              <w:tab w:val="clear" w:pos="9355"/>
              <w:tab w:val="right" w:pos="9637" w:leader="dot"/>
            </w:tabs>
            <w:rPr/>
          </w:pPr>
          <w:hyperlink w:anchor="__RefHeading___Toc431_1632554855">
            <w:r>
              <w:rPr>
                <w:rStyle w:val="Sautdindex"/>
              </w:rPr>
              <w:t>3. Market Landscape &amp; Competitive Analysis</w:t>
              <w:tab/>
              <w:t>9</w:t>
            </w:r>
          </w:hyperlink>
        </w:p>
        <w:p>
          <w:pPr>
            <w:pStyle w:val="TOC3"/>
            <w:tabs>
              <w:tab w:val="clear" w:pos="9071"/>
              <w:tab w:val="right" w:pos="9637" w:leader="dot"/>
            </w:tabs>
            <w:rPr/>
          </w:pPr>
          <w:hyperlink w:anchor="__RefHeading___Toc433_1632554855">
            <w:r>
              <w:rPr>
                <w:rStyle w:val="Sautdindex"/>
              </w:rPr>
              <w:t>3.1 The Euro Stablecoin Market: Fragmentation and Failure to Launch</w:t>
              <w:tab/>
              <w:t>9</w:t>
            </w:r>
          </w:hyperlink>
        </w:p>
        <w:p>
          <w:pPr>
            <w:pStyle w:val="TOC3"/>
            <w:tabs>
              <w:tab w:val="clear" w:pos="9071"/>
              <w:tab w:val="right" w:pos="9637" w:leader="dot"/>
            </w:tabs>
            <w:rPr/>
          </w:pPr>
          <w:hyperlink w:anchor="__RefHeading___Toc435_1632554855">
            <w:r>
              <w:rPr>
                <w:rStyle w:val="Sautdindex"/>
              </w:rPr>
              <w:t>3.2 USD Dominance in DeFi: A Structural Bias</w:t>
              <w:tab/>
              <w:t>9</w:t>
            </w:r>
          </w:hyperlink>
        </w:p>
        <w:p>
          <w:pPr>
            <w:pStyle w:val="TOC3"/>
            <w:tabs>
              <w:tab w:val="clear" w:pos="9071"/>
              <w:tab w:val="right" w:pos="9637" w:leader="dot"/>
            </w:tabs>
            <w:rPr/>
          </w:pPr>
          <w:hyperlink w:anchor="__RefHeading___Toc437_1632554855">
            <w:r>
              <w:rPr>
                <w:rStyle w:val="Sautdindex"/>
              </w:rPr>
              <w:t>3.3 Quantillon’s Competitive Edge</w:t>
              <w:tab/>
              <w:t>10</w:t>
            </w:r>
          </w:hyperlink>
        </w:p>
        <w:p>
          <w:pPr>
            <w:pStyle w:val="TOC2"/>
            <w:tabs>
              <w:tab w:val="clear" w:pos="9355"/>
              <w:tab w:val="right" w:pos="9637" w:leader="dot"/>
            </w:tabs>
            <w:rPr/>
          </w:pPr>
          <w:hyperlink w:anchor="__RefHeading___Toc439_1632554855">
            <w:r>
              <w:rPr>
                <w:rStyle w:val="Sautdindex"/>
              </w:rPr>
              <w:t>4. Quantillon Protocol: Design &amp; Architecture</w:t>
              <w:tab/>
              <w:t>11</w:t>
            </w:r>
          </w:hyperlink>
        </w:p>
        <w:p>
          <w:pPr>
            <w:pStyle w:val="TOC3"/>
            <w:tabs>
              <w:tab w:val="clear" w:pos="9071"/>
              <w:tab w:val="right" w:pos="9637" w:leader="dot"/>
            </w:tabs>
            <w:rPr/>
          </w:pPr>
          <w:hyperlink w:anchor="__RefHeading___Toc441_1632554855">
            <w:r>
              <w:rPr>
                <w:rStyle w:val="Sautdindex"/>
              </w:rPr>
              <w:t>4.1 QEURO Stablecoin Design: A Euro-Pegged, Overcollateralized Instrument</w:t>
              <w:tab/>
              <w:t>11</w:t>
            </w:r>
          </w:hyperlink>
        </w:p>
        <w:p>
          <w:pPr>
            <w:pStyle w:val="TOC3"/>
            <w:tabs>
              <w:tab w:val="clear" w:pos="9071"/>
              <w:tab w:val="right" w:pos="9637" w:leader="dot"/>
            </w:tabs>
            <w:rPr/>
          </w:pPr>
          <w:hyperlink w:anchor="__RefHeading___Toc443_1632554855">
            <w:r>
              <w:rPr>
                <w:rStyle w:val="Sautdindex"/>
              </w:rPr>
              <w:t>4.2 The Dual-Pool Model: Users and Hedgers</w:t>
              <w:tab/>
              <w:t>11</w:t>
            </w:r>
          </w:hyperlink>
        </w:p>
        <w:p>
          <w:pPr>
            <w:pStyle w:val="TOC3"/>
            <w:tabs>
              <w:tab w:val="clear" w:pos="9071"/>
              <w:tab w:val="right" w:pos="9637" w:leader="dot"/>
            </w:tabs>
            <w:rPr/>
          </w:pPr>
          <w:hyperlink w:anchor="__RefHeading___Toc445_1632554855">
            <w:r>
              <w:rPr>
                <w:rStyle w:val="Sautdindex"/>
              </w:rPr>
              <w:t>4.3 Liquidity Architecture: Inheriting Depth from USDC and Forex</w:t>
              <w:tab/>
              <w:t>12</w:t>
            </w:r>
          </w:hyperlink>
        </w:p>
        <w:p>
          <w:pPr>
            <w:pStyle w:val="TOC3"/>
            <w:tabs>
              <w:tab w:val="clear" w:pos="9071"/>
              <w:tab w:val="right" w:pos="9637" w:leader="dot"/>
            </w:tabs>
            <w:rPr/>
          </w:pPr>
          <w:hyperlink w:anchor="__RefHeading___Toc447_1632554855">
            <w:r>
              <w:rPr>
                <w:rStyle w:val="Sautdindex"/>
              </w:rPr>
              <w:t>4.4 Native Composability and Embedded DEX</w:t>
              <w:tab/>
              <w:t>12</w:t>
            </w:r>
          </w:hyperlink>
        </w:p>
        <w:p>
          <w:pPr>
            <w:pStyle w:val="TOC3"/>
            <w:tabs>
              <w:tab w:val="clear" w:pos="9071"/>
              <w:tab w:val="right" w:pos="9637" w:leader="dot"/>
            </w:tabs>
            <w:rPr/>
          </w:pPr>
          <w:hyperlink w:anchor="__RefHeading___Toc449_1632554855">
            <w:r>
              <w:rPr>
                <w:rStyle w:val="Sautdindex"/>
              </w:rPr>
              <w:t>4.5 Vault Variants: Modular Architecture for Risk Segmentation</w:t>
              <w:tab/>
              <w:t>12</w:t>
            </w:r>
          </w:hyperlink>
        </w:p>
        <w:p>
          <w:pPr>
            <w:pStyle w:val="TOC3"/>
            <w:tabs>
              <w:tab w:val="clear" w:pos="9071"/>
              <w:tab w:val="right" w:pos="9637" w:leader="dot"/>
            </w:tabs>
            <w:rPr/>
          </w:pPr>
          <w:hyperlink w:anchor="__RefHeading___Toc449_1632554855_Copie_1">
            <w:r>
              <w:rPr>
                <w:rStyle w:val="Sautdindex"/>
              </w:rPr>
              <w:t>4.6 stQEURO : Yield-Bearing Euro Infrastructure</w:t>
              <w:tab/>
              <w:t>14</w:t>
            </w:r>
          </w:hyperlink>
        </w:p>
        <w:p>
          <w:pPr>
            <w:pStyle w:val="TOC2"/>
            <w:tabs>
              <w:tab w:val="clear" w:pos="9355"/>
              <w:tab w:val="right" w:pos="9637" w:leader="dot"/>
            </w:tabs>
            <w:rPr/>
          </w:pPr>
          <w:hyperlink w:anchor="__RefHeading___Toc451_1632554855">
            <w:r>
              <w:rPr>
                <w:rStyle w:val="Sautdindex"/>
              </w:rPr>
              <w:t>5. Tokenomics &amp; Governance</w:t>
              <w:tab/>
              <w:t>16</w:t>
            </w:r>
          </w:hyperlink>
        </w:p>
        <w:p>
          <w:pPr>
            <w:pStyle w:val="TOC3"/>
            <w:tabs>
              <w:tab w:val="clear" w:pos="9071"/>
              <w:tab w:val="right" w:pos="9637" w:leader="dot"/>
            </w:tabs>
            <w:rPr/>
          </w:pPr>
          <w:hyperlink w:anchor="__RefHeading___Toc453_1632554855">
            <w:r>
              <w:rPr>
                <w:rStyle w:val="Sautdindex"/>
              </w:rPr>
              <w:t>5.1 The $QTI Token: Governance, Distribution, and Incentives</w:t>
              <w:tab/>
              <w:t>16</w:t>
            </w:r>
          </w:hyperlink>
        </w:p>
        <w:p>
          <w:pPr>
            <w:pStyle w:val="TOC3"/>
            <w:tabs>
              <w:tab w:val="clear" w:pos="9071"/>
              <w:tab w:val="right" w:pos="9637" w:leader="dot"/>
            </w:tabs>
            <w:rPr/>
          </w:pPr>
          <w:hyperlink w:anchor="__RefHeading___Toc455_1632554855">
            <w:r>
              <w:rPr>
                <w:rStyle w:val="Sautdindex"/>
              </w:rPr>
              <w:t>5.2 Yield Mechanics and the "Yield Shift"</w:t>
              <w:tab/>
              <w:t>17</w:t>
            </w:r>
          </w:hyperlink>
        </w:p>
        <w:p>
          <w:pPr>
            <w:pStyle w:val="TOC3"/>
            <w:tabs>
              <w:tab w:val="clear" w:pos="9071"/>
              <w:tab w:val="right" w:pos="9637" w:leader="dot"/>
            </w:tabs>
            <w:rPr/>
          </w:pPr>
          <w:hyperlink w:anchor="__RefHeading___Toc457_1632554855">
            <w:r>
              <w:rPr>
                <w:rStyle w:val="Sautdindex"/>
              </w:rPr>
              <w:t>5.3 Incentive Alignment and Protocol Sustainability</w:t>
              <w:tab/>
              <w:t>18</w:t>
            </w:r>
          </w:hyperlink>
        </w:p>
        <w:p>
          <w:pPr>
            <w:pStyle w:val="TOC2"/>
            <w:tabs>
              <w:tab w:val="clear" w:pos="9355"/>
              <w:tab w:val="right" w:pos="9637" w:leader="dot"/>
            </w:tabs>
            <w:rPr/>
          </w:pPr>
          <w:hyperlink w:anchor="__RefHeading___Toc459_1632554855">
            <w:r>
              <w:rPr>
                <w:rStyle w:val="Sautdindex"/>
              </w:rPr>
              <w:t>6. Business Model &amp; Economic Sustainability</w:t>
              <w:tab/>
              <w:t>19</w:t>
            </w:r>
          </w:hyperlink>
        </w:p>
        <w:p>
          <w:pPr>
            <w:pStyle w:val="TOC3"/>
            <w:tabs>
              <w:tab w:val="clear" w:pos="9071"/>
              <w:tab w:val="right" w:pos="9637" w:leader="dot"/>
            </w:tabs>
            <w:rPr/>
          </w:pPr>
          <w:hyperlink w:anchor="__RefHeading___Toc461_1632554855">
            <w:r>
              <w:rPr>
                <w:rStyle w:val="Sautdindex"/>
              </w:rPr>
              <w:t>6.1 Revenue Forecasts and Operating Leverage</w:t>
              <w:tab/>
              <w:t>19</w:t>
            </w:r>
          </w:hyperlink>
        </w:p>
        <w:p>
          <w:pPr>
            <w:pStyle w:val="TOC3"/>
            <w:tabs>
              <w:tab w:val="clear" w:pos="9071"/>
              <w:tab w:val="right" w:pos="9637" w:leader="dot"/>
            </w:tabs>
            <w:rPr/>
          </w:pPr>
          <w:hyperlink w:anchor="__RefHeading___Toc463_1632554855">
            <w:r>
              <w:rPr>
                <w:rStyle w:val="Sautdindex"/>
              </w:rPr>
              <w:t>6.2 Capital Efficiency Through Design</w:t>
              <w:tab/>
              <w:t>21</w:t>
            </w:r>
          </w:hyperlink>
        </w:p>
        <w:p>
          <w:pPr>
            <w:pStyle w:val="TOC3"/>
            <w:tabs>
              <w:tab w:val="clear" w:pos="9071"/>
              <w:tab w:val="right" w:pos="9637" w:leader="dot"/>
            </w:tabs>
            <w:rPr/>
          </w:pPr>
          <w:hyperlink w:anchor="__RefHeading___Toc465_1632554855">
            <w:r>
              <w:rPr>
                <w:rStyle w:val="Sautdindex"/>
              </w:rPr>
              <w:t>6.3 Institutional Fit and Monetization Pathways</w:t>
              <w:tab/>
              <w:t>21</w:t>
            </w:r>
          </w:hyperlink>
        </w:p>
        <w:p>
          <w:pPr>
            <w:pStyle w:val="TOC2"/>
            <w:tabs>
              <w:tab w:val="clear" w:pos="9355"/>
              <w:tab w:val="right" w:pos="9637" w:leader="dot"/>
            </w:tabs>
            <w:rPr/>
          </w:pPr>
          <w:hyperlink w:anchor="__RefHeading___Toc467_1632554855">
            <w:r>
              <w:rPr>
                <w:rStyle w:val="Sautdindex"/>
              </w:rPr>
              <w:t>7. Risks &amp; Mitigation Strategies</w:t>
              <w:tab/>
              <w:t>23</w:t>
            </w:r>
          </w:hyperlink>
        </w:p>
        <w:p>
          <w:pPr>
            <w:pStyle w:val="TOC3"/>
            <w:tabs>
              <w:tab w:val="clear" w:pos="9071"/>
              <w:tab w:val="right" w:pos="9637" w:leader="dot"/>
            </w:tabs>
            <w:rPr/>
          </w:pPr>
          <w:hyperlink w:anchor="__RefHeading___Toc469_1632554855">
            <w:r>
              <w:rPr>
                <w:rStyle w:val="Sautdindex"/>
              </w:rPr>
              <w:t>7.1 Currency Risk: EUR/USD Volatility</w:t>
              <w:tab/>
              <w:t>23</w:t>
            </w:r>
          </w:hyperlink>
        </w:p>
        <w:p>
          <w:pPr>
            <w:pStyle w:val="TOC3"/>
            <w:tabs>
              <w:tab w:val="clear" w:pos="9071"/>
              <w:tab w:val="right" w:pos="9637" w:leader="dot"/>
            </w:tabs>
            <w:rPr/>
          </w:pPr>
          <w:hyperlink w:anchor="__RefHeading___Toc471_1632554855">
            <w:r>
              <w:rPr>
                <w:rStyle w:val="Sautdindex"/>
              </w:rPr>
              <w:t>7.2 Liquidity Risk: Capital Flight and Redemption Pressure</w:t>
              <w:tab/>
              <w:t>23</w:t>
            </w:r>
          </w:hyperlink>
        </w:p>
        <w:p>
          <w:pPr>
            <w:pStyle w:val="TOC3"/>
            <w:tabs>
              <w:tab w:val="clear" w:pos="9071"/>
              <w:tab w:val="right" w:pos="9637" w:leader="dot"/>
            </w:tabs>
            <w:rPr/>
          </w:pPr>
          <w:hyperlink w:anchor="__RefHeading___Toc473_1632554855">
            <w:r>
              <w:rPr>
                <w:rStyle w:val="Sautdindex"/>
              </w:rPr>
              <w:t>7.3 Smart Contract and Oracle Risk</w:t>
              <w:tab/>
              <w:t>23</w:t>
            </w:r>
          </w:hyperlink>
        </w:p>
        <w:p>
          <w:pPr>
            <w:pStyle w:val="TOC3"/>
            <w:tabs>
              <w:tab w:val="clear" w:pos="9071"/>
              <w:tab w:val="right" w:pos="9637" w:leader="dot"/>
            </w:tabs>
            <w:rPr/>
          </w:pPr>
          <w:hyperlink w:anchor="__RefHeading___Toc475_1632554855">
            <w:r>
              <w:rPr>
                <w:rStyle w:val="Sautdindex"/>
              </w:rPr>
              <w:t>7.4 Governance Risk and Protocol Capture</w:t>
              <w:tab/>
              <w:t>23</w:t>
            </w:r>
          </w:hyperlink>
        </w:p>
        <w:p>
          <w:pPr>
            <w:pStyle w:val="TOC3"/>
            <w:tabs>
              <w:tab w:val="clear" w:pos="9071"/>
              <w:tab w:val="right" w:pos="9637" w:leader="dot"/>
            </w:tabs>
            <w:rPr/>
          </w:pPr>
          <w:hyperlink w:anchor="__RefHeading___Toc477_1632554855">
            <w:r>
              <w:rPr>
                <w:rStyle w:val="Sautdindex"/>
              </w:rPr>
              <w:t>7.5 Regulatory Risk: Legal Classification and MiCA</w:t>
              <w:tab/>
              <w:t>24</w:t>
            </w:r>
          </w:hyperlink>
        </w:p>
        <w:p>
          <w:pPr>
            <w:pStyle w:val="TOC3"/>
            <w:tabs>
              <w:tab w:val="clear" w:pos="9071"/>
              <w:tab w:val="right" w:pos="9637" w:leader="dot"/>
            </w:tabs>
            <w:rPr/>
          </w:pPr>
          <w:hyperlink w:anchor="__RefHeading___Toc479_1632554855">
            <w:r>
              <w:rPr>
                <w:rStyle w:val="Sautdindex"/>
              </w:rPr>
              <w:t>7.6 DeFi Contagion Risk</w:t>
              <w:tab/>
              <w:t>24</w:t>
            </w:r>
          </w:hyperlink>
        </w:p>
        <w:p>
          <w:pPr>
            <w:pStyle w:val="TOC3"/>
            <w:tabs>
              <w:tab w:val="clear" w:pos="9071"/>
              <w:tab w:val="right" w:pos="9637" w:leader="dot"/>
            </w:tabs>
            <w:rPr/>
          </w:pPr>
          <w:hyperlink w:anchor="__RefHeading___Toc3167_59253517">
            <w:r>
              <w:rPr>
                <w:rStyle w:val="Sautdindex"/>
              </w:rPr>
              <w:t>7.7 stQEURO-Specific Risk Factors</w:t>
              <w:tab/>
              <w:t>24</w:t>
            </w:r>
          </w:hyperlink>
        </w:p>
        <w:p>
          <w:pPr>
            <w:pStyle w:val="TOC2"/>
            <w:tabs>
              <w:tab w:val="clear" w:pos="9355"/>
              <w:tab w:val="right" w:pos="9637" w:leader="dot"/>
            </w:tabs>
            <w:rPr/>
          </w:pPr>
          <w:hyperlink w:anchor="__RefHeading___Toc481_1632554855">
            <w:r>
              <w:rPr>
                <w:rStyle w:val="Sautdindex"/>
              </w:rPr>
              <w:t>8. Roadmap &amp; Adoption Strategy</w:t>
              <w:tab/>
              <w:t>26</w:t>
            </w:r>
          </w:hyperlink>
        </w:p>
        <w:p>
          <w:pPr>
            <w:pStyle w:val="TOC3"/>
            <w:tabs>
              <w:tab w:val="clear" w:pos="9071"/>
              <w:tab w:val="right" w:pos="9637" w:leader="dot"/>
            </w:tabs>
            <w:rPr/>
          </w:pPr>
          <w:hyperlink w:anchor="__RefHeading___Toc483_1632554855">
            <w:r>
              <w:rPr>
                <w:rStyle w:val="Sautdindex"/>
              </w:rPr>
              <w:t>8.1 Technical and Product Development Timeline</w:t>
              <w:tab/>
              <w:t>26</w:t>
            </w:r>
          </w:hyperlink>
        </w:p>
        <w:p>
          <w:pPr>
            <w:pStyle w:val="TOC3"/>
            <w:tabs>
              <w:tab w:val="clear" w:pos="9071"/>
              <w:tab w:val="right" w:pos="9637" w:leader="dot"/>
            </w:tabs>
            <w:rPr/>
          </w:pPr>
          <w:hyperlink w:anchor="__RefHeading___Toc485_1632554855">
            <w:r>
              <w:rPr>
                <w:rStyle w:val="Sautdindex"/>
              </w:rPr>
              <w:t>8.2 Strategic KPIs and Milestones</w:t>
              <w:tab/>
              <w:t>27</w:t>
            </w:r>
          </w:hyperlink>
        </w:p>
        <w:p>
          <w:pPr>
            <w:pStyle w:val="TOC3"/>
            <w:tabs>
              <w:tab w:val="clear" w:pos="9071"/>
              <w:tab w:val="right" w:pos="9637" w:leader="dot"/>
            </w:tabs>
            <w:rPr/>
          </w:pPr>
          <w:hyperlink w:anchor="__RefHeading___Toc487_1632554855">
            <w:r>
              <w:rPr>
                <w:rStyle w:val="Sautdindex"/>
              </w:rPr>
              <w:t>8.3 Ecosystem Development and Network Effects</w:t>
              <w:tab/>
              <w:t>28</w:t>
            </w:r>
          </w:hyperlink>
        </w:p>
        <w:p>
          <w:pPr>
            <w:pStyle w:val="TOC2"/>
            <w:tabs>
              <w:tab w:val="clear" w:pos="9355"/>
              <w:tab w:val="right" w:pos="9637" w:leader="dot"/>
            </w:tabs>
            <w:rPr/>
          </w:pPr>
          <w:hyperlink w:anchor="__RefHeading___Toc489_1632554855">
            <w:r>
              <w:rPr>
                <w:rStyle w:val="Sautdindex"/>
              </w:rPr>
              <w:t>9. Team &amp; Operational Structure</w:t>
              <w:tab/>
              <w:t>29</w:t>
            </w:r>
          </w:hyperlink>
        </w:p>
        <w:p>
          <w:pPr>
            <w:pStyle w:val="TOC3"/>
            <w:tabs>
              <w:tab w:val="clear" w:pos="9071"/>
              <w:tab w:val="right" w:pos="9637" w:leader="dot"/>
            </w:tabs>
            <w:rPr/>
          </w:pPr>
          <w:hyperlink w:anchor="__RefHeading___Toc491_1632554855">
            <w:r>
              <w:rPr>
                <w:rStyle w:val="Sautdindex"/>
              </w:rPr>
              <w:t>9.1 Founding Team</w:t>
              <w:tab/>
              <w:t>29</w:t>
            </w:r>
          </w:hyperlink>
        </w:p>
        <w:p>
          <w:pPr>
            <w:pStyle w:val="TOC3"/>
            <w:tabs>
              <w:tab w:val="clear" w:pos="9071"/>
              <w:tab w:val="right" w:pos="9637" w:leader="dot"/>
            </w:tabs>
            <w:rPr/>
          </w:pPr>
          <w:hyperlink w:anchor="__RefHeading___Toc493_1632554855">
            <w:r>
              <w:rPr>
                <w:rStyle w:val="Sautdindex"/>
              </w:rPr>
              <w:t>9.2 Core Development &amp; Product Team</w:t>
              <w:tab/>
              <w:t>29</w:t>
            </w:r>
          </w:hyperlink>
        </w:p>
        <w:p>
          <w:pPr>
            <w:pStyle w:val="TOC3"/>
            <w:tabs>
              <w:tab w:val="clear" w:pos="9071"/>
              <w:tab w:val="right" w:pos="9637" w:leader="dot"/>
            </w:tabs>
            <w:rPr/>
          </w:pPr>
          <w:hyperlink w:anchor="__RefHeading___Toc495_1632554855">
            <w:r>
              <w:rPr>
                <w:rStyle w:val="Sautdindex"/>
              </w:rPr>
              <w:t>9.3 Organizational Entities</w:t>
              <w:tab/>
              <w:t>29</w:t>
            </w:r>
          </w:hyperlink>
        </w:p>
        <w:p>
          <w:pPr>
            <w:pStyle w:val="TOC2"/>
            <w:tabs>
              <w:tab w:val="clear" w:pos="9355"/>
              <w:tab w:val="right" w:pos="9637" w:leader="dot"/>
            </w:tabs>
            <w:rPr/>
          </w:pPr>
          <w:hyperlink w:anchor="__RefHeading___Toc497_1632554855">
            <w:r>
              <w:rPr>
                <w:rStyle w:val="Sautdindex"/>
              </w:rPr>
              <w:t>10. Appendices Techniques</w:t>
              <w:tab/>
              <w:t>31</w:t>
            </w:r>
          </w:hyperlink>
        </w:p>
        <w:p>
          <w:pPr>
            <w:pStyle w:val="TOC3"/>
            <w:tabs>
              <w:tab w:val="clear" w:pos="9071"/>
              <w:tab w:val="right" w:pos="9637" w:leader="dot"/>
            </w:tabs>
            <w:rPr/>
          </w:pPr>
          <w:hyperlink w:anchor="__RefHeading___Toc499_1632554855">
            <w:r>
              <w:rPr>
                <w:rStyle w:val="Sautdindex"/>
              </w:rPr>
              <w:t>10.1 Smart Contract Architecture</w:t>
              <w:tab/>
              <w:t>31</w:t>
            </w:r>
          </w:hyperlink>
        </w:p>
        <w:p>
          <w:pPr>
            <w:pStyle w:val="TOC3"/>
            <w:tabs>
              <w:tab w:val="clear" w:pos="9071"/>
              <w:tab w:val="right" w:pos="9637" w:leader="dot"/>
            </w:tabs>
            <w:rPr/>
          </w:pPr>
          <w:hyperlink w:anchor="__RefHeading___Toc501_1632554855">
            <w:r>
              <w:rPr>
                <w:rStyle w:val="Sautdindex"/>
              </w:rPr>
              <w:t>10.2 Oracle and Pricing Infrastructure</w:t>
              <w:tab/>
              <w:t>31</w:t>
            </w:r>
          </w:hyperlink>
        </w:p>
        <w:p>
          <w:pPr>
            <w:pStyle w:val="TOC3"/>
            <w:tabs>
              <w:tab w:val="clear" w:pos="9071"/>
              <w:tab w:val="right" w:pos="9637" w:leader="dot"/>
            </w:tabs>
            <w:rPr/>
          </w:pPr>
          <w:hyperlink w:anchor="__RefHeading___Toc503_1632554855">
            <w:r>
              <w:rPr>
                <w:rStyle w:val="Sautdindex"/>
              </w:rPr>
              <w:t>10.3 Yield Shift Formula</w:t>
              <w:tab/>
              <w:t>32</w:t>
            </w:r>
          </w:hyperlink>
        </w:p>
        <w:p>
          <w:pPr>
            <w:pStyle w:val="TOC3"/>
            <w:tabs>
              <w:tab w:val="clear" w:pos="9071"/>
              <w:tab w:val="right" w:pos="9637" w:leader="dot"/>
            </w:tabs>
            <w:rPr/>
          </w:pPr>
          <w:hyperlink w:anchor="__RefHeading___Toc505_1632554855">
            <w:r>
              <w:rPr>
                <w:rStyle w:val="Sautdindex"/>
              </w:rPr>
              <w:t>10.4 Value at Risk and Stress Testing</w:t>
              <w:tab/>
              <w:t>32</w:t>
            </w:r>
          </w:hyperlink>
        </w:p>
        <w:p>
          <w:pPr>
            <w:pStyle w:val="TOC3"/>
            <w:tabs>
              <w:tab w:val="clear" w:pos="9071"/>
              <w:tab w:val="right" w:pos="9637" w:leader="dot"/>
            </w:tabs>
            <w:rPr/>
          </w:pPr>
          <w:hyperlink w:anchor="__RefHeading___Toc507_1632554855">
            <w:r>
              <w:rPr>
                <w:rStyle w:val="Sautdindex"/>
              </w:rPr>
              <w:t>10.5 Compliance Interfaces</w:t>
              <w:tab/>
              <w:t>32</w:t>
            </w:r>
          </w:hyperlink>
          <w:r>
            <w:rPr>
              <w:rStyle w:val="Sautdindex"/>
            </w:rPr>
            <w:fldChar w:fldCharType="end"/>
          </w:r>
        </w:p>
      </w:sdtContent>
    </w:sdt>
    <w:p>
      <w:pPr>
        <w:pStyle w:val="Heading2"/>
        <w:bidi w:val="0"/>
        <w:spacing w:before="0" w:after="120"/>
        <w:jc w:val="start"/>
        <w:rPr>
          <w:rFonts w:ascii="Manrope Medium" w:hAnsi="Manrope Medium"/>
        </w:rPr>
      </w:pPr>
      <w:r>
        <w:rPr>
          <w:rFonts w:ascii="Manrope Medium" w:hAnsi="Manrope Medium"/>
        </w:rPr>
      </w:r>
      <w:r>
        <w:br w:type="page"/>
      </w:r>
    </w:p>
    <w:p>
      <w:pPr>
        <w:pStyle w:val="Heading2"/>
        <w:rPr/>
      </w:pPr>
      <w:bookmarkStart w:id="1" w:name="__RefHeading___Toc2253_3828683095"/>
      <w:bookmarkEnd w:id="1"/>
      <w:r>
        <w:rPr/>
        <w:t>Document History</w:t>
      </w:r>
    </w:p>
    <w:p>
      <w:pPr>
        <w:pStyle w:val="BodyText"/>
        <w:rPr/>
      </w:pPr>
      <w:r>
        <w:rPr/>
      </w:r>
    </w:p>
    <w:tbl>
      <w:tblPr>
        <w:tblW w:w="7779" w:type="dxa"/>
        <w:jc w:val="start"/>
        <w:tblInd w:w="0" w:type="dxa"/>
        <w:tblLayout w:type="fixed"/>
        <w:tblCellMar>
          <w:top w:w="28" w:type="dxa"/>
          <w:start w:w="28" w:type="dxa"/>
          <w:bottom w:w="28" w:type="dxa"/>
          <w:end w:w="28" w:type="dxa"/>
        </w:tblCellMar>
      </w:tblPr>
      <w:tblGrid>
        <w:gridCol w:w="899"/>
        <w:gridCol w:w="1639"/>
        <w:gridCol w:w="1660"/>
        <w:gridCol w:w="3581"/>
      </w:tblGrid>
      <w:tr>
        <w:trPr>
          <w:tblHeader w:val="true"/>
        </w:trPr>
        <w:tc>
          <w:tcPr>
            <w:tcW w:w="899" w:type="dxa"/>
            <w:tcBorders/>
            <w:vAlign w:val="center"/>
          </w:tcPr>
          <w:p>
            <w:pPr>
              <w:pStyle w:val="Titredetableau"/>
              <w:rPr/>
            </w:pPr>
            <w:r>
              <w:rPr>
                <w:rStyle w:val="Strong"/>
                <w:b/>
                <w:bCs/>
              </w:rPr>
              <w:t>Version</w:t>
            </w:r>
          </w:p>
        </w:tc>
        <w:tc>
          <w:tcPr>
            <w:tcW w:w="1639" w:type="dxa"/>
            <w:tcBorders/>
            <w:vAlign w:val="center"/>
          </w:tcPr>
          <w:p>
            <w:pPr>
              <w:pStyle w:val="Titredetableau"/>
              <w:rPr/>
            </w:pPr>
            <w:r>
              <w:rPr>
                <w:rStyle w:val="Strong"/>
                <w:b/>
                <w:bCs/>
              </w:rPr>
              <w:t>Date</w:t>
            </w:r>
          </w:p>
        </w:tc>
        <w:tc>
          <w:tcPr>
            <w:tcW w:w="1660" w:type="dxa"/>
            <w:tcBorders/>
            <w:vAlign w:val="center"/>
          </w:tcPr>
          <w:p>
            <w:pPr>
              <w:pStyle w:val="Titredetableau"/>
              <w:rPr/>
            </w:pPr>
            <w:r>
              <w:rPr>
                <w:rStyle w:val="Strong"/>
                <w:b/>
                <w:bCs/>
              </w:rPr>
              <w:t>Author/Team</w:t>
            </w:r>
          </w:p>
        </w:tc>
        <w:tc>
          <w:tcPr>
            <w:tcW w:w="3581" w:type="dxa"/>
            <w:tcBorders/>
            <w:vAlign w:val="center"/>
          </w:tcPr>
          <w:p>
            <w:pPr>
              <w:pStyle w:val="Titredetableau"/>
              <w:rPr/>
            </w:pPr>
            <w:r>
              <w:rPr>
                <w:rStyle w:val="Strong"/>
                <w:b/>
                <w:bCs/>
              </w:rPr>
              <w:t>Main Changes</w:t>
            </w:r>
          </w:p>
        </w:tc>
      </w:tr>
      <w:tr>
        <w:trPr/>
        <w:tc>
          <w:tcPr>
            <w:tcW w:w="899" w:type="dxa"/>
            <w:tcBorders/>
            <w:vAlign w:val="center"/>
          </w:tcPr>
          <w:p>
            <w:pPr>
              <w:pStyle w:val="Contenudetableau"/>
              <w:rPr/>
            </w:pPr>
            <w:r>
              <w:rPr>
                <w:rStyle w:val="Strong"/>
              </w:rPr>
              <w:t>v1.0</w:t>
            </w:r>
          </w:p>
        </w:tc>
        <w:tc>
          <w:tcPr>
            <w:tcW w:w="1639" w:type="dxa"/>
            <w:tcBorders/>
            <w:vAlign w:val="center"/>
          </w:tcPr>
          <w:p>
            <w:pPr>
              <w:pStyle w:val="Contenudetableau"/>
              <w:rPr/>
            </w:pPr>
            <w:r>
              <w:rPr/>
              <w:t>15 July 2025</w:t>
            </w:r>
          </w:p>
        </w:tc>
        <w:tc>
          <w:tcPr>
            <w:tcW w:w="1660" w:type="dxa"/>
            <w:tcBorders/>
            <w:vAlign w:val="center"/>
          </w:tcPr>
          <w:p>
            <w:pPr>
              <w:pStyle w:val="Contenudetableau"/>
              <w:rPr/>
            </w:pPr>
            <w:r>
              <w:rPr/>
              <w:t>Quantillon Labs</w:t>
            </w:r>
          </w:p>
        </w:tc>
        <w:tc>
          <w:tcPr>
            <w:tcW w:w="3581" w:type="dxa"/>
            <w:tcBorders/>
            <w:vAlign w:val="center"/>
          </w:tcPr>
          <w:p>
            <w:pPr>
              <w:pStyle w:val="Contenudetableau"/>
              <w:rPr/>
            </w:pPr>
            <w:r>
              <w:rPr/>
              <w:t>First release of the whitepaper</w:t>
            </w:r>
          </w:p>
        </w:tc>
      </w:tr>
      <w:tr>
        <w:trPr/>
        <w:tc>
          <w:tcPr>
            <w:tcW w:w="899" w:type="dxa"/>
            <w:tcBorders/>
            <w:vAlign w:val="center"/>
          </w:tcPr>
          <w:p>
            <w:pPr>
              <w:pStyle w:val="Contenudetableau"/>
              <w:rPr/>
            </w:pPr>
            <w:r>
              <w:rPr>
                <w:rStyle w:val="Strong"/>
              </w:rPr>
              <w:t>v1.1</w:t>
            </w:r>
          </w:p>
        </w:tc>
        <w:tc>
          <w:tcPr>
            <w:tcW w:w="1639" w:type="dxa"/>
            <w:tcBorders/>
            <w:vAlign w:val="center"/>
          </w:tcPr>
          <w:p>
            <w:pPr>
              <w:pStyle w:val="Contenudetableau"/>
              <w:rPr/>
            </w:pPr>
            <w:r>
              <w:rPr/>
              <w:t>22 August 2025</w:t>
            </w:r>
          </w:p>
        </w:tc>
        <w:tc>
          <w:tcPr>
            <w:tcW w:w="1660" w:type="dxa"/>
            <w:tcBorders/>
            <w:vAlign w:val="center"/>
          </w:tcPr>
          <w:p>
            <w:pPr>
              <w:pStyle w:val="Contenudetableau"/>
              <w:rPr/>
            </w:pPr>
            <w:r>
              <w:rPr/>
              <w:t>Quantillon Labs</w:t>
            </w:r>
          </w:p>
        </w:tc>
        <w:tc>
          <w:tcPr>
            <w:tcW w:w="3581" w:type="dxa"/>
            <w:tcBorders/>
            <w:vAlign w:val="center"/>
          </w:tcPr>
          <w:p>
            <w:pPr>
              <w:pStyle w:val="Contenudetableau"/>
              <w:rPr/>
            </w:pPr>
            <w:r>
              <w:rPr/>
              <w:t>Updated Tokenomics and Roadmap</w:t>
            </w:r>
          </w:p>
        </w:tc>
      </w:tr>
    </w:tbl>
    <w:p>
      <w:pPr>
        <w:pStyle w:val="BodyText"/>
        <w:rPr/>
      </w:pPr>
      <w:r>
        <w:rPr/>
      </w:r>
    </w:p>
    <w:p>
      <w:pPr>
        <w:pStyle w:val="BodyText"/>
        <w:bidi w:val="0"/>
        <w:spacing w:before="0" w:after="120"/>
        <w:jc w:val="start"/>
        <w:rPr>
          <w:rFonts w:ascii="Manrope Medium" w:hAnsi="Manrope Medium"/>
        </w:rPr>
      </w:pPr>
      <w:r>
        <w:rPr>
          <w:rFonts w:ascii="Manrope Medium" w:hAnsi="Manrope Medium"/>
        </w:rPr>
      </w:r>
      <w:r>
        <w:br w:type="page"/>
      </w:r>
    </w:p>
    <w:p>
      <w:pPr>
        <w:pStyle w:val="Heading2"/>
        <w:bidi w:val="0"/>
        <w:spacing w:before="0" w:after="120"/>
        <w:jc w:val="both"/>
        <w:rPr>
          <w:rFonts w:ascii="Manrope Medium" w:hAnsi="Manrope Medium"/>
        </w:rPr>
      </w:pPr>
      <w:bookmarkStart w:id="2" w:name="__RefHeading___Toc421_1632554855"/>
      <w:bookmarkEnd w:id="2"/>
      <w:r>
        <w:rPr>
          <w:rFonts w:ascii="Manrope Medium" w:hAnsi="Manrope Medium"/>
        </w:rPr>
        <w:t xml:space="preserve">1. </w:t>
      </w:r>
      <w:r>
        <w:rPr>
          <w:rFonts w:ascii="Manrope Medium" w:hAnsi="Manrope Medium"/>
        </w:rPr>
        <w:t>Executive Summary</w:t>
      </w:r>
    </w:p>
    <w:p>
      <w:pPr>
        <w:pStyle w:val="BodyText"/>
        <w:bidi w:val="0"/>
        <w:spacing w:before="0" w:after="120"/>
        <w:jc w:val="both"/>
        <w:rPr>
          <w:rFonts w:ascii="Manrope Medium" w:hAnsi="Manrope Medium"/>
        </w:rPr>
      </w:pPr>
      <w:r>
        <w:rPr>
          <w:rFonts w:ascii="Manrope Medium" w:hAnsi="Manrope Medium"/>
        </w:rPr>
      </w:r>
    </w:p>
    <w:p>
      <w:pPr>
        <w:pStyle w:val="BodyText"/>
        <w:bidi w:val="0"/>
        <w:jc w:val="both"/>
        <w:rPr>
          <w:rFonts w:ascii="Manrope Medium" w:hAnsi="Manrope Medium"/>
        </w:rPr>
      </w:pPr>
      <w:r>
        <w:rPr>
          <w:rFonts w:ascii="Manrope Medium" w:hAnsi="Manrope Medium"/>
        </w:rPr>
        <w:t>Over the past decade, decentralized finance (DeFi) has emerged as one of the most transformative movements in financial history. Yet, despite its global ambitions, DeFi remains overwhelmingly denominated in U.S. dollars, structurally excluding over 300 million European savers and institutions who operate natively in euros. This asymmetry not only exposes European participants to unnecessary currency risk but also fails to capitalize on a vast pool of capital currently parked in underperforming legacy products such as Livret A, life insurance contracts, and regulated savings plans.</w:t>
      </w:r>
    </w:p>
    <w:p>
      <w:pPr>
        <w:pStyle w:val="BodyText"/>
        <w:bidi w:val="0"/>
        <w:jc w:val="both"/>
        <w:rPr>
          <w:rFonts w:ascii="Manrope Medium" w:hAnsi="Manrope Medium"/>
        </w:rPr>
      </w:pPr>
      <w:r>
        <w:rPr>
          <w:rFonts w:ascii="Manrope Medium" w:hAnsi="Manrope Medium"/>
        </w:rPr>
        <w:t>Quantillon Protocol seeks to rectify this imbalance through a revolutionary three-token ecosystem: QEURO (euro-pegged stablecoin), stQEURO (yield-bearing auto-compounding wrapper), and QTI (governance token with vote-escrow mechanics). This synergistic architecture creates interconnected value flows where each token reinforces the utility and adoption of the others. QEURO operates through an innovative dual-pool architecture—composed of "Users" who mint and stake QEURO, and "Hedgers" who assume delta-neutral FX positions on the EUR/USD pair—achieving fully decentralized, scalable, and compliant stablecoin issuance. stQEURO automatically compounds yields from QEURO collateral deployment without token inflation, offering Europeans their first native yield-bearing euro instrument with instant liquidity and full DeFi composability. QTI enables sophisticated governance through vote-escrow mechanics, progressive decentralization, and sustainable incentive alignment. At its core lies a set of innovative mechanisms: permissionless hedging, yield redistribution through a variable "Yield Shift," and modular collateral management through vault variants (e.g., aQEURO, mQEURO, bQEURO, eQEURO).</w:t>
      </w:r>
    </w:p>
    <w:p>
      <w:pPr>
        <w:pStyle w:val="BodyText"/>
        <w:bidi w:val="0"/>
        <w:jc w:val="both"/>
        <w:rPr>
          <w:rFonts w:ascii="Manrope Medium" w:hAnsi="Manrope Medium"/>
        </w:rPr>
      </w:pPr>
      <w:r>
        <w:rPr>
          <w:rFonts w:ascii="Manrope Medium" w:hAnsi="Manrope Medium"/>
        </w:rPr>
        <w:t>The fundamental economic insight underpinning Quantillon is an application of the Cantillon Effect: in a financial ecosystem where monetary expansion benefits capital allocators first, the lack of euro-native DeFi instruments deprives European savers of fair access to yield. The current euro financial infrastructure systematically misallocates savings via opaque, fee-laden intermediaries and suboptimal risk-reward profiles. Quantillon reimagines this ecosystem by offering a highly liquid, capital-efficient, and decentralized alternative that can serve both as a euro-denominated savings product and a trust-minimized stablecoin.</w:t>
      </w:r>
    </w:p>
    <w:p>
      <w:pPr>
        <w:pStyle w:val="BodyText"/>
        <w:bidi w:val="0"/>
        <w:jc w:val="both"/>
        <w:rPr>
          <w:rFonts w:ascii="Manrope Medium" w:hAnsi="Manrope Medium"/>
        </w:rPr>
      </w:pPr>
      <w:r>
        <w:rPr>
          <w:rFonts w:ascii="Manrope Medium" w:hAnsi="Manrope Medium"/>
        </w:rPr>
        <w:t>From a macroeconomic standpoint, the project responds to a structural divergence between the monetary policies of the Federal Reserve and the European Central Bank. While the Fed's aggressive tightening cycle post-COVID has created a strong dollar carry trade, the ECB has been slower to react, leaving the euro structurally weaker and more volatile. This has made USD-denominated DeFi attractive globally, but introduces a hedging need for eurozone participants—a need Quantillon meets through embedded FX mechanisms.</w:t>
      </w:r>
    </w:p>
    <w:p>
      <w:pPr>
        <w:pStyle w:val="BodyText"/>
        <w:bidi w:val="0"/>
        <w:jc w:val="both"/>
        <w:rPr>
          <w:rFonts w:ascii="Manrope Medium" w:hAnsi="Manrope Medium"/>
        </w:rPr>
      </w:pPr>
      <w:r>
        <w:rPr>
          <w:rFonts w:ascii="Manrope Medium" w:hAnsi="Manrope Medium"/>
        </w:rPr>
        <w:t>Regulatorily, Quantillon stands apart through its alignment with MiCA (Markets in Crypto Assets) regulation. By operating as a decentralized protocol under Recital 22, it remains outside the scope of direct regulatory enforcement while retaining pathways for institutional compliance via the Quantillon Foundation. Early engagement with the French ACPR (Autorité de Contrôle Prudentiel et de Résolution) reinforces this legitimacy.</w:t>
      </w:r>
    </w:p>
    <w:p>
      <w:pPr>
        <w:pStyle w:val="BodyText"/>
        <w:bidi w:val="0"/>
        <w:jc w:val="both"/>
        <w:rPr>
          <w:rFonts w:ascii="Manrope Medium" w:hAnsi="Manrope Medium"/>
        </w:rPr>
      </w:pPr>
      <w:r>
        <w:rPr>
          <w:rFonts w:ascii="Manrope Medium" w:hAnsi="Manrope Medium"/>
        </w:rPr>
        <w:t>Economically, the protocol generates revenue through mint/redeem fees (0.1%) and by capturing a share of the yield generated from collateral deployed on trusted DeFi platforms such as Aave. A conservative projection at 20M TVL (Total Value Locked) with an average Aave APY of 7% and swap volume 20x TVL yields over 500K EUR/year in protocol revenue. This supports a scalable model with low fixed infrastructure costs and exponential revenue potential.</w:t>
      </w:r>
    </w:p>
    <w:p>
      <w:pPr>
        <w:pStyle w:val="BodyText"/>
        <w:bidi w:val="0"/>
        <w:jc w:val="both"/>
        <w:rPr>
          <w:rFonts w:ascii="Manrope Medium" w:hAnsi="Manrope Medium"/>
        </w:rPr>
      </w:pPr>
      <w:r>
        <w:rPr>
          <w:rFonts w:ascii="Manrope Medium" w:hAnsi="Manrope Medium"/>
        </w:rPr>
        <w:t>Compared to existing euro-stablecoins such as EUROC (Circle), EURS (Stasis), or EURT (Tether), Quantillon represents the only comprehensive three-token euro-DeFi ecosystem, offering:</w:t>
      </w:r>
    </w:p>
    <w:p>
      <w:pPr>
        <w:pStyle w:val="BodyText"/>
        <w:numPr>
          <w:ilvl w:val="0"/>
          <w:numId w:val="2"/>
        </w:numPr>
        <w:tabs>
          <w:tab w:val="left" w:pos="709" w:leader="none"/>
        </w:tabs>
        <w:bidi w:val="0"/>
        <w:ind w:hanging="283" w:start="709"/>
        <w:jc w:val="both"/>
        <w:rPr>
          <w:rFonts w:ascii="Manrope Medium" w:hAnsi="Manrope Medium"/>
        </w:rPr>
      </w:pPr>
      <w:r>
        <w:rPr>
          <w:rFonts w:ascii="Manrope Medium" w:hAnsi="Manrope Medium"/>
        </w:rPr>
        <w:t>Superior capital efficiency via delta-neutral hedging</w:t>
      </w:r>
    </w:p>
    <w:p>
      <w:pPr>
        <w:pStyle w:val="BodyText"/>
        <w:numPr>
          <w:ilvl w:val="0"/>
          <w:numId w:val="2"/>
        </w:numPr>
        <w:tabs>
          <w:tab w:val="left" w:pos="709" w:leader="none"/>
        </w:tabs>
        <w:bidi w:val="0"/>
        <w:ind w:hanging="283" w:start="709"/>
        <w:jc w:val="both"/>
        <w:rPr>
          <w:rFonts w:ascii="Manrope Medium" w:hAnsi="Manrope Medium"/>
        </w:rPr>
      </w:pPr>
      <w:r>
        <w:rPr>
          <w:rFonts w:ascii="Manrope Medium" w:hAnsi="Manrope Medium"/>
        </w:rPr>
        <w:t>Composability across multiple DeFi protocols</w:t>
      </w:r>
    </w:p>
    <w:p>
      <w:pPr>
        <w:pStyle w:val="BodyText"/>
        <w:numPr>
          <w:ilvl w:val="0"/>
          <w:numId w:val="2"/>
        </w:numPr>
        <w:tabs>
          <w:tab w:val="left" w:pos="709" w:leader="none"/>
        </w:tabs>
        <w:bidi w:val="0"/>
        <w:ind w:hanging="283" w:start="709"/>
        <w:jc w:val="both"/>
        <w:rPr>
          <w:rFonts w:ascii="Manrope Medium" w:hAnsi="Manrope Medium"/>
        </w:rPr>
      </w:pPr>
      <w:r>
        <w:rPr>
          <w:rFonts w:ascii="Manrope Medium" w:hAnsi="Manrope Medium"/>
        </w:rPr>
        <w:t>Liquidity by design through Forex and USDC markets</w:t>
      </w:r>
    </w:p>
    <w:p>
      <w:pPr>
        <w:pStyle w:val="BodyText"/>
        <w:numPr>
          <w:ilvl w:val="0"/>
          <w:numId w:val="2"/>
        </w:numPr>
        <w:tabs>
          <w:tab w:val="left" w:pos="709" w:leader="none"/>
        </w:tabs>
        <w:bidi w:val="0"/>
        <w:ind w:hanging="283" w:start="709"/>
        <w:jc w:val="both"/>
        <w:rPr>
          <w:rFonts w:ascii="Manrope Medium" w:hAnsi="Manrope Medium"/>
        </w:rPr>
      </w:pPr>
      <w:r>
        <w:rPr>
          <w:rFonts w:ascii="Manrope Medium" w:hAnsi="Manrope Medium"/>
        </w:rPr>
        <w:t>Yield-bearing QEURO instruments for both retail and institutional users</w:t>
      </w:r>
    </w:p>
    <w:p>
      <w:pPr>
        <w:pStyle w:val="BodyText"/>
        <w:bidi w:val="0"/>
        <w:jc w:val="both"/>
        <w:rPr>
          <w:rFonts w:ascii="Manrope Medium" w:hAnsi="Manrope Medium"/>
        </w:rPr>
      </w:pPr>
      <w:r>
        <w:rPr>
          <w:rFonts w:ascii="Manrope Medium" w:hAnsi="Manrope Medium"/>
        </w:rPr>
        <w:t>Finally, the protocol is backed by a seasoned team with decades of experience in software architecture, financial systems, and DeFi engineering. It is structured through three distinct but complementary entities: Quantillon Protocol (on-chain governance), Quantillon Labs (development and liquidity bootstrapping), and Quantillon Foundation (regulatory interface).</w:t>
      </w:r>
    </w:p>
    <w:p>
      <w:pPr>
        <w:pStyle w:val="BodyText"/>
        <w:bidi w:val="0"/>
        <w:jc w:val="both"/>
        <w:rPr>
          <w:rFonts w:ascii="Manrope Medium" w:hAnsi="Manrope Medium"/>
        </w:rPr>
      </w:pPr>
      <w:r>
        <w:rPr>
          <w:rFonts w:ascii="Manrope Medium" w:hAnsi="Manrope Medium"/>
        </w:rPr>
        <w:t>In a European savings landscape marked by inertia, fragmentation, and regulatory complexity, Quantillon Protocol presents a credible, innovative, and technically rigorous solution. It is not merely a stablecoin—but a new paradigm for euro-based digital savings and decentralized capital formation.</w:t>
      </w:r>
    </w:p>
    <w:p>
      <w:pPr>
        <w:pStyle w:val="Normal"/>
        <w:bidi w:val="0"/>
        <w:jc w:val="both"/>
        <w:rPr>
          <w:rFonts w:ascii="Manrope Medium" w:hAnsi="Manrope Medium"/>
        </w:rPr>
      </w:pPr>
      <w:r>
        <w:rPr>
          <w:rFonts w:ascii="Manrope Medium" w:hAnsi="Manrope Medium"/>
        </w:rPr>
      </w:r>
    </w:p>
    <w:p>
      <w:pPr>
        <w:pStyle w:val="Normal"/>
        <w:bidi w:val="0"/>
        <w:jc w:val="both"/>
        <w:rPr>
          <w:rFonts w:ascii="Manrope Medium" w:hAnsi="Manrope Medium"/>
        </w:rPr>
      </w:pPr>
      <w:r>
        <w:rPr>
          <w:rFonts w:ascii="Manrope Medium" w:hAnsi="Manrope Medium"/>
        </w:rPr>
      </w:r>
      <w:r>
        <w:br w:type="page"/>
      </w:r>
    </w:p>
    <w:p>
      <w:pPr>
        <w:pStyle w:val="Heading2"/>
        <w:bidi w:val="0"/>
        <w:spacing w:before="0" w:after="120"/>
        <w:jc w:val="both"/>
        <w:rPr>
          <w:rFonts w:ascii="Manrope Medium" w:hAnsi="Manrope Medium"/>
        </w:rPr>
      </w:pPr>
      <w:bookmarkStart w:id="3" w:name="__RefHeading___Toc423_1632554855"/>
      <w:bookmarkEnd w:id="3"/>
      <w:r>
        <w:rPr>
          <w:rFonts w:ascii="Manrope Medium" w:hAnsi="Manrope Medium"/>
        </w:rPr>
        <w:t>2. Macro &amp; Regulatory Context</w:t>
      </w:r>
    </w:p>
    <w:p>
      <w:pPr>
        <w:pStyle w:val="BodyText"/>
        <w:bidi w:val="0"/>
        <w:spacing w:before="0" w:after="12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4" w:name="__RefHeading___Toc425_1632554855"/>
      <w:bookmarkEnd w:id="4"/>
      <w:r>
        <w:rPr>
          <w:rFonts w:ascii="Manrope Medium" w:hAnsi="Manrope Medium"/>
        </w:rPr>
        <w:t>2.1 The Eurozone’s Monetary Landscape: A Fragile Equilibrium</w:t>
      </w:r>
    </w:p>
    <w:p>
      <w:pPr>
        <w:pStyle w:val="BodyText"/>
        <w:bidi w:val="0"/>
        <w:jc w:val="both"/>
        <w:rPr>
          <w:rFonts w:ascii="Manrope Medium" w:hAnsi="Manrope Medium"/>
        </w:rPr>
      </w:pPr>
      <w:r>
        <w:rPr>
          <w:rFonts w:ascii="Manrope Medium" w:hAnsi="Manrope Medium"/>
        </w:rPr>
        <w:t>The European monetary union represents a unique economic construct: a single currency deployed across divergent fiscal sovereignties. This foundational asymmetry introduces persistent challenges in monetary policy transmission, fiscal coordination, and currency stability. Since its inception, the euro has oscillated between being a symbol of unity and a structural constraint for its member states. Crucially, its monetary architecture lacks a unified treasury, rendering the European Central Bank (ECB) simultaneously omnipotent in setting interest rates and impotent in addressing fiscal imbalances.</w:t>
      </w:r>
    </w:p>
    <w:p>
      <w:pPr>
        <w:pStyle w:val="BodyText"/>
        <w:bidi w:val="0"/>
        <w:jc w:val="both"/>
        <w:rPr>
          <w:rFonts w:ascii="Manrope Medium" w:hAnsi="Manrope Medium"/>
        </w:rPr>
      </w:pPr>
      <w:r>
        <w:rPr>
          <w:rFonts w:ascii="Manrope Medium" w:hAnsi="Manrope Medium"/>
        </w:rPr>
        <w:t>Following the COVID-19 pandemic, these weaknesses became more visible. The ECB’s asset purchase programs (APP, PEPP) ballooned its balance sheet while interest rates remained negative or near zero for an extended period. In parallel, the U.S. Federal Reserve embarked on a rapid tightening cycle beginning in 2022, leading to a widening rate differential between USD and EUR assets. The resulting capital outflows from euro-denominated instruments depressed the euro’s value, culminating in a near-parity scenario with the U.S. dollar in mid-2022.</w:t>
      </w:r>
    </w:p>
    <w:p>
      <w:pPr>
        <w:pStyle w:val="BodyText"/>
        <w:bidi w:val="0"/>
        <w:jc w:val="both"/>
        <w:rPr>
          <w:rFonts w:ascii="Manrope Medium" w:hAnsi="Manrope Medium"/>
        </w:rPr>
      </w:pPr>
      <w:r>
        <w:rPr>
          <w:rFonts w:ascii="Manrope Medium" w:hAnsi="Manrope Medium"/>
        </w:rPr>
        <w:t>From a DeFi standpoint, this divergence has structural consequences. With higher U.S. rates and deeper liquidity, DeFi protocols overwhelmingly adopted USD as the reference currency. The euro became underrepresented in decentralized markets, despite being the currency of one of the world’s largest economic blocs. This creates a double penalty for European DeFi users: they face foreign exchange risk and lack native euro-yielding instruments.</w:t>
      </w:r>
    </w:p>
    <w:p>
      <w:pPr>
        <w:pStyle w:val="BodyText"/>
        <w:bidi w:val="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5" w:name="__RefHeading___Toc427_1632554855"/>
      <w:bookmarkEnd w:id="5"/>
      <w:r>
        <w:rPr>
          <w:rFonts w:ascii="Manrope Medium" w:hAnsi="Manrope Medium"/>
        </w:rPr>
        <w:t>2.2 The Case for Euro-Native Instruments: Yield, Safety, and Monetary Sovereignty</w:t>
      </w:r>
    </w:p>
    <w:p>
      <w:pPr>
        <w:pStyle w:val="BodyText"/>
        <w:bidi w:val="0"/>
        <w:jc w:val="both"/>
        <w:rPr>
          <w:rFonts w:ascii="Manrope Medium" w:hAnsi="Manrope Medium"/>
        </w:rPr>
      </w:pPr>
      <w:r>
        <w:rPr>
          <w:rFonts w:ascii="Manrope Medium" w:hAnsi="Manrope Medium"/>
        </w:rPr>
        <w:t>European savers face a paradox. While they exhibit high precautionary saving rates—estimated at over 12% of household income across the eurozone—most of this capital is deployed in vehicles offering negligible returns: Livret A (</w:t>
      </w:r>
      <w:r>
        <w:rPr>
          <w:rFonts w:ascii="Manrope Medium" w:hAnsi="Manrope Medium"/>
        </w:rPr>
        <w:t>France, 1.7</w:t>
      </w:r>
      <w:r>
        <w:rPr>
          <w:rFonts w:ascii="Manrope Medium" w:hAnsi="Manrope Medium"/>
        </w:rPr>
        <w:t>%), regulated life insurance contracts, and pension products. These products are structurally constrained by regulation, subject to opaque fee structures, and offer limited capital appreciation.</w:t>
      </w:r>
    </w:p>
    <w:p>
      <w:pPr>
        <w:pStyle w:val="BodyText"/>
        <w:bidi w:val="0"/>
        <w:jc w:val="both"/>
        <w:rPr>
          <w:rFonts w:ascii="Manrope Medium" w:hAnsi="Manrope Medium"/>
        </w:rPr>
      </w:pPr>
      <w:r>
        <w:rPr>
          <w:rFonts w:ascii="Manrope Medium" w:hAnsi="Manrope Medium"/>
        </w:rPr>
        <w:t>At the macro level, the lack of euro-native yield instruments exacerbates the Cantillon Effect. Monetary stimulus disproportionately benefits financial intermediaries and capital holders close to the central bank’s monetary base. Retail savers, by contrast, receive only the diluted remnants of yield transmission. This creates a structural transfer from savers to asset managers—a pattern Quantillon explicitly seeks to reverse.</w:t>
      </w:r>
    </w:p>
    <w:p>
      <w:pPr>
        <w:pStyle w:val="BodyText"/>
        <w:bidi w:val="0"/>
        <w:jc w:val="both"/>
        <w:rPr>
          <w:rFonts w:ascii="Manrope Medium" w:hAnsi="Manrope Medium"/>
        </w:rPr>
      </w:pPr>
      <w:r>
        <w:rPr>
          <w:rFonts w:ascii="Manrope Medium" w:hAnsi="Manrope Medium"/>
        </w:rPr>
        <w:t>By introducing QEURO as a euro-denominated, over-collateralized, and yield-bearing stablecoin, the protocol offers a bridge between monetary sovereignty and decentralized market participation. Users retain euro exposure while accessing yields comparable to U.S. dollar strategies, effectively equalizing global access to DeFi opportunities.</w:t>
      </w:r>
    </w:p>
    <w:p>
      <w:pPr>
        <w:pStyle w:val="BodyText"/>
        <w:bidi w:val="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6" w:name="__RefHeading___Toc429_1632554855"/>
      <w:bookmarkEnd w:id="6"/>
      <w:r>
        <w:rPr>
          <w:rFonts w:ascii="Manrope Medium" w:hAnsi="Manrope Medium"/>
        </w:rPr>
        <w:t>2.3 Regulatory Context: MiCA and the Exemption Framework</w:t>
      </w:r>
    </w:p>
    <w:p>
      <w:pPr>
        <w:pStyle w:val="BodyText"/>
        <w:bidi w:val="0"/>
        <w:jc w:val="both"/>
        <w:rPr>
          <w:rFonts w:ascii="Manrope Medium" w:hAnsi="Manrope Medium"/>
        </w:rPr>
      </w:pPr>
      <w:r>
        <w:rPr>
          <w:rFonts w:ascii="Manrope Medium" w:hAnsi="Manrope Medium"/>
        </w:rPr>
        <w:t>The Markets in Crypto Assets (MiCA) regulation, set to be enforced across the EU in 2025, aims to provide legal clarity and consumer protection within crypto markets. However, it introduces stringent requirements for stablecoins deemed "significant" or "asset-referenced." These include capital reserves, whitepaper publication, supervisory approval, and operational audits.</w:t>
      </w:r>
    </w:p>
    <w:p>
      <w:pPr>
        <w:pStyle w:val="BodyText"/>
        <w:bidi w:val="0"/>
        <w:jc w:val="both"/>
        <w:rPr>
          <w:rFonts w:ascii="Manrope Medium" w:hAnsi="Manrope Medium"/>
        </w:rPr>
      </w:pPr>
      <w:r>
        <w:rPr>
          <w:rFonts w:ascii="Manrope Medium" w:hAnsi="Manrope Medium"/>
        </w:rPr>
        <w:t>Recital 22 of MiCA introduces a critical exemption: protocols that are “fully decentralized and not controlled by any legal entity” fall outside the regulation’s purview. Quantillon leverages this exemption by maintaining a trustless architecture: governance via the $QTI token, open-source smart contracts, and a non-custodial infrastructure. Regulatory discussions with the French ACPR confirm the protocol’s compliance with this decentralized exemption.</w:t>
      </w:r>
    </w:p>
    <w:p>
      <w:pPr>
        <w:pStyle w:val="BodyText"/>
        <w:bidi w:val="0"/>
        <w:jc w:val="both"/>
        <w:rPr>
          <w:rFonts w:ascii="Manrope Medium" w:hAnsi="Manrope Medium"/>
        </w:rPr>
      </w:pPr>
      <w:r>
        <w:rPr>
          <w:rFonts w:ascii="Manrope Medium" w:hAnsi="Manrope Medium"/>
        </w:rPr>
        <w:t>Nevertheless, to enable institutional interaction, Quantillon establishes the Quantillon Foundation. This entity holds governance multisigs, interfaces with auditors, and can provide voluntary disclosures or risk assessments. It bridges the gap between decentralized governance and institutional requirements without compromising protocol integrity.</w:t>
      </w:r>
    </w:p>
    <w:p>
      <w:pPr>
        <w:pStyle w:val="BodyText"/>
        <w:bidi w:val="0"/>
        <w:jc w:val="both"/>
        <w:rPr>
          <w:rFonts w:ascii="Manrope Medium" w:hAnsi="Manrope Medium"/>
        </w:rPr>
      </w:pPr>
      <w:r>
        <w:rPr>
          <w:rFonts w:ascii="Manrope Medium" w:hAnsi="Manrope Medium"/>
        </w:rPr>
        <w:t>This hybrid approach ensures both compliance and resilience. Quantillon is designed to operate outside MiCA’s scope while remaining interoperable with it. It anticipates future legal harmonization and sets a precedent for legally conscious DeFi architecture within the European Union.</w:t>
      </w:r>
    </w:p>
    <w:p>
      <w:pPr>
        <w:pStyle w:val="Normal"/>
        <w:bidi w:val="0"/>
        <w:jc w:val="both"/>
        <w:rPr>
          <w:rFonts w:ascii="Manrope Medium" w:hAnsi="Manrope Medium"/>
        </w:rPr>
      </w:pPr>
      <w:r>
        <w:rPr>
          <w:rFonts w:ascii="Manrope Medium" w:hAnsi="Manrope Medium"/>
        </w:rPr>
      </w:r>
    </w:p>
    <w:p>
      <w:pPr>
        <w:pStyle w:val="Normal"/>
        <w:bidi w:val="0"/>
        <w:jc w:val="both"/>
        <w:rPr>
          <w:rFonts w:ascii="Manrope Medium" w:hAnsi="Manrope Medium"/>
        </w:rPr>
      </w:pPr>
      <w:r>
        <w:rPr>
          <w:rFonts w:ascii="Manrope Medium" w:hAnsi="Manrope Medium"/>
        </w:rPr>
      </w:r>
    </w:p>
    <w:p>
      <w:pPr>
        <w:pStyle w:val="Normal"/>
        <w:bidi w:val="0"/>
        <w:jc w:val="both"/>
        <w:rPr>
          <w:rFonts w:ascii="Manrope Medium" w:hAnsi="Manrope Medium"/>
        </w:rPr>
      </w:pPr>
      <w:r>
        <w:rPr>
          <w:rFonts w:ascii="Manrope Medium" w:hAnsi="Manrope Medium"/>
        </w:rPr>
      </w:r>
      <w:r>
        <w:br w:type="page"/>
      </w:r>
    </w:p>
    <w:p>
      <w:pPr>
        <w:pStyle w:val="Heading2"/>
        <w:bidi w:val="0"/>
        <w:spacing w:before="0" w:after="120"/>
        <w:jc w:val="both"/>
        <w:rPr>
          <w:rFonts w:ascii="Manrope Medium" w:hAnsi="Manrope Medium"/>
        </w:rPr>
      </w:pPr>
      <w:bookmarkStart w:id="7" w:name="__RefHeading___Toc431_1632554855"/>
      <w:bookmarkEnd w:id="7"/>
      <w:r>
        <w:rPr>
          <w:rFonts w:ascii="Manrope Medium" w:hAnsi="Manrope Medium"/>
        </w:rPr>
        <w:t>3. Market Landscape &amp; Competitive Analysis</w:t>
      </w:r>
    </w:p>
    <w:p>
      <w:pPr>
        <w:pStyle w:val="BodyText"/>
        <w:bidi w:val="0"/>
        <w:spacing w:before="0" w:after="12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8" w:name="__RefHeading___Toc433_1632554855"/>
      <w:bookmarkEnd w:id="8"/>
      <w:r>
        <w:rPr>
          <w:rFonts w:ascii="Manrope Medium" w:hAnsi="Manrope Medium"/>
        </w:rPr>
        <w:t>3.1 The Euro Stablecoin Market: Fragmentation and Failure to Launch</w:t>
      </w:r>
    </w:p>
    <w:p>
      <w:pPr>
        <w:pStyle w:val="BodyText"/>
        <w:bidi w:val="0"/>
        <w:jc w:val="both"/>
        <w:rPr>
          <w:rFonts w:ascii="Manrope Medium" w:hAnsi="Manrope Medium"/>
        </w:rPr>
      </w:pPr>
      <w:r>
        <w:rPr>
          <w:rFonts w:ascii="Manrope Medium" w:hAnsi="Manrope Medium"/>
        </w:rPr>
        <w:t xml:space="preserve">Despite numerous attempts to develop euro-denominated stablecoins, none have achieved substantial market penetration or liquidity. EUROC (Circle), EURS (Stasis), EURT (Tether), and Angle’s </w:t>
      </w:r>
      <w:r>
        <w:rPr>
          <w:rFonts w:ascii="Manrope Medium" w:hAnsi="Manrope Medium"/>
        </w:rPr>
        <w:t>EURA</w:t>
      </w:r>
      <w:r>
        <w:rPr>
          <w:rFonts w:ascii="Manrope Medium" w:hAnsi="Manrope Medium"/>
        </w:rPr>
        <w:t xml:space="preserve"> represent the most recognizable names in this segment, yet they collectively represent less than </w:t>
      </w:r>
      <w:r>
        <w:rPr>
          <w:rFonts w:ascii="Manrope Medium" w:hAnsi="Manrope Medium"/>
        </w:rPr>
        <w:t>1</w:t>
      </w:r>
      <w:r>
        <w:rPr>
          <w:rFonts w:ascii="Manrope Medium" w:hAnsi="Manrope Medium"/>
        </w:rPr>
        <w:t>% of the total stablecoin market capitalization as of Q2 2025. Each of these projects suffers from critical structural limitations:</w:t>
      </w:r>
    </w:p>
    <w:p>
      <w:pPr>
        <w:pStyle w:val="BodyText"/>
        <w:numPr>
          <w:ilvl w:val="0"/>
          <w:numId w:val="3"/>
        </w:numPr>
        <w:tabs>
          <w:tab w:val="left" w:pos="709" w:leader="none"/>
        </w:tabs>
        <w:bidi w:val="0"/>
        <w:ind w:hanging="283" w:start="709"/>
        <w:jc w:val="both"/>
        <w:rPr/>
      </w:pPr>
      <w:r>
        <w:rPr>
          <w:rStyle w:val="Strong"/>
          <w:rFonts w:ascii="Manrope Medium" w:hAnsi="Manrope Medium"/>
        </w:rPr>
        <w:t>EUROC (Circle):</w:t>
      </w:r>
      <w:r>
        <w:rPr>
          <w:rFonts w:ascii="Manrope Medium" w:hAnsi="Manrope Medium"/>
        </w:rPr>
        <w:t xml:space="preserve"> Despite the credibility of its issuer, EUROC has limited utility and suffers from low liquidity on decentralized exchanges. It also lacks yield generation mechanisms and is primarily used as a compliance showcase.</w:t>
      </w:r>
    </w:p>
    <w:p>
      <w:pPr>
        <w:pStyle w:val="BodyText"/>
        <w:numPr>
          <w:ilvl w:val="0"/>
          <w:numId w:val="3"/>
        </w:numPr>
        <w:tabs>
          <w:tab w:val="left" w:pos="709" w:leader="none"/>
        </w:tabs>
        <w:bidi w:val="0"/>
        <w:ind w:hanging="283" w:start="709"/>
        <w:jc w:val="both"/>
        <w:rPr/>
      </w:pPr>
      <w:r>
        <w:rPr>
          <w:rStyle w:val="Strong"/>
          <w:rFonts w:ascii="Manrope Medium" w:hAnsi="Manrope Medium"/>
        </w:rPr>
        <w:t>EURS (Stasis):</w:t>
      </w:r>
      <w:r>
        <w:rPr>
          <w:rFonts w:ascii="Manrope Medium" w:hAnsi="Manrope Medium"/>
        </w:rPr>
        <w:t xml:space="preserve"> EURS is a custodial stablecoin with limited adoption and high on/off-ramp costs. It is centralized and opaque, offering no native integration with DeFi protocols.</w:t>
      </w:r>
    </w:p>
    <w:p>
      <w:pPr>
        <w:pStyle w:val="BodyText"/>
        <w:numPr>
          <w:ilvl w:val="0"/>
          <w:numId w:val="3"/>
        </w:numPr>
        <w:tabs>
          <w:tab w:val="left" w:pos="709" w:leader="none"/>
        </w:tabs>
        <w:bidi w:val="0"/>
        <w:ind w:hanging="283" w:start="709"/>
        <w:jc w:val="both"/>
        <w:rPr/>
      </w:pPr>
      <w:r>
        <w:rPr>
          <w:rStyle w:val="Strong"/>
          <w:rFonts w:ascii="Manrope Medium" w:hAnsi="Manrope Medium"/>
        </w:rPr>
        <w:t>EURT (Tether):</w:t>
      </w:r>
      <w:r>
        <w:rPr>
          <w:rFonts w:ascii="Manrope Medium" w:hAnsi="Manrope Medium"/>
        </w:rPr>
        <w:t xml:space="preserve"> Lacking regulatory clarity and plagued by transparency concerns, EURT is largely avoided by institutional players.</w:t>
      </w:r>
    </w:p>
    <w:p>
      <w:pPr>
        <w:pStyle w:val="BodyText"/>
        <w:numPr>
          <w:ilvl w:val="0"/>
          <w:numId w:val="3"/>
        </w:numPr>
        <w:tabs>
          <w:tab w:val="left" w:pos="709" w:leader="none"/>
        </w:tabs>
        <w:bidi w:val="0"/>
        <w:ind w:hanging="283" w:start="709"/>
        <w:jc w:val="both"/>
        <w:rPr/>
      </w:pPr>
      <w:r>
        <w:rPr>
          <w:rStyle w:val="Strong"/>
          <w:rFonts w:ascii="Manrope Medium" w:hAnsi="Manrope Medium"/>
        </w:rPr>
        <w:t>EURA</w:t>
      </w:r>
      <w:r>
        <w:rPr>
          <w:rStyle w:val="Strong"/>
          <w:rFonts w:ascii="Manrope Medium" w:hAnsi="Manrope Medium"/>
        </w:rPr>
        <w:t xml:space="preserve"> (Angle Protocol):</w:t>
      </w:r>
      <w:r>
        <w:rPr>
          <w:rFonts w:ascii="Manrope Medium" w:hAnsi="Manrope Medium"/>
        </w:rPr>
        <w:t xml:space="preserve"> While technically innovative with a dynamic reserve model, </w:t>
      </w:r>
      <w:r>
        <w:rPr>
          <w:rFonts w:ascii="Manrope Medium" w:hAnsi="Manrope Medium"/>
        </w:rPr>
        <w:t>EURA</w:t>
      </w:r>
      <w:r>
        <w:rPr>
          <w:rFonts w:ascii="Manrope Medium" w:hAnsi="Manrope Medium"/>
        </w:rPr>
        <w:t xml:space="preserve"> has struggled with capital efficiency and scale, facing depegging events and </w:t>
      </w:r>
      <w:r>
        <w:rPr>
          <w:rFonts w:ascii="Manrope Medium" w:hAnsi="Manrope Medium"/>
        </w:rPr>
        <w:t>low yield generation as it is based on euro bonds</w:t>
      </w:r>
      <w:r>
        <w:rPr>
          <w:rFonts w:ascii="Manrope Medium" w:hAnsi="Manrope Medium"/>
        </w:rPr>
        <w:t>.</w:t>
      </w:r>
    </w:p>
    <w:p>
      <w:pPr>
        <w:pStyle w:val="BodyText"/>
        <w:bidi w:val="0"/>
        <w:jc w:val="both"/>
        <w:rPr>
          <w:rFonts w:ascii="Manrope Medium" w:hAnsi="Manrope Medium"/>
        </w:rPr>
      </w:pPr>
      <w:r>
        <w:rPr>
          <w:rFonts w:ascii="Manrope Medium" w:hAnsi="Manrope Medium"/>
        </w:rPr>
        <w:t>The consistent problem across all these assets is their failure to create meaningful liquidity, yield opportunities, and DeFi integration comparable to USD stablecoins. These failings result not from lack of intent but from poor incentive alignment, limited network effects, and insufficient hedging infrastructure for EUR/USD volatility.</w:t>
      </w:r>
    </w:p>
    <w:p>
      <w:pPr>
        <w:pStyle w:val="BodyText"/>
        <w:bidi w:val="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9" w:name="__RefHeading___Toc435_1632554855"/>
      <w:bookmarkEnd w:id="9"/>
      <w:r>
        <w:rPr>
          <w:rFonts w:ascii="Manrope Medium" w:hAnsi="Manrope Medium"/>
        </w:rPr>
        <w:t>3.2 USD Dominance in DeFi: A Structural Bias</w:t>
      </w:r>
    </w:p>
    <w:p>
      <w:pPr>
        <w:pStyle w:val="BodyText"/>
        <w:bidi w:val="0"/>
        <w:jc w:val="both"/>
        <w:rPr>
          <w:rFonts w:ascii="Manrope Medium" w:hAnsi="Manrope Medium"/>
        </w:rPr>
      </w:pPr>
      <w:r>
        <w:rPr>
          <w:rFonts w:ascii="Manrope Medium" w:hAnsi="Manrope Medium"/>
        </w:rPr>
        <w:t>As of mid-2025, over 99% of DeFi stablecoin liquidity is denominated in USD. The dominance of USDC and USDT on platforms like Aave, Compound, Curve, and MakerDAO creates a feedback loop: most lending, borrowing, and LP positions rely on dollar-based units of account. This has network and liquidity advantages but perpetuates the exclusion of non-USD participants.</w:t>
      </w:r>
    </w:p>
    <w:p>
      <w:pPr>
        <w:pStyle w:val="BodyText"/>
        <w:bidi w:val="0"/>
        <w:jc w:val="both"/>
        <w:rPr>
          <w:rFonts w:ascii="Manrope Medium" w:hAnsi="Manrope Medium"/>
        </w:rPr>
      </w:pPr>
      <w:r>
        <w:rPr>
          <w:rFonts w:ascii="Manrope Medium" w:hAnsi="Manrope Medium"/>
        </w:rPr>
        <w:t>From a European perspective, engaging in DeFi through USD-based assets introduces three layers of friction:</w:t>
      </w:r>
    </w:p>
    <w:p>
      <w:pPr>
        <w:pStyle w:val="BodyText"/>
        <w:numPr>
          <w:ilvl w:val="0"/>
          <w:numId w:val="4"/>
        </w:numPr>
        <w:tabs>
          <w:tab w:val="left" w:pos="709" w:leader="none"/>
        </w:tabs>
        <w:bidi w:val="0"/>
        <w:ind w:hanging="283" w:start="709"/>
        <w:jc w:val="both"/>
        <w:rPr/>
      </w:pPr>
      <w:r>
        <w:rPr>
          <w:rStyle w:val="Strong"/>
          <w:rFonts w:ascii="Manrope Medium" w:hAnsi="Manrope Medium"/>
        </w:rPr>
        <w:t>FX risk</w:t>
      </w:r>
      <w:r>
        <w:rPr>
          <w:rFonts w:ascii="Manrope Medium" w:hAnsi="Manrope Medium"/>
        </w:rPr>
        <w:t xml:space="preserve"> – EUR/USD fluctuations can nullify yield gains or exacerbate losses.</w:t>
      </w:r>
    </w:p>
    <w:p>
      <w:pPr>
        <w:pStyle w:val="BodyText"/>
        <w:numPr>
          <w:ilvl w:val="0"/>
          <w:numId w:val="4"/>
        </w:numPr>
        <w:tabs>
          <w:tab w:val="left" w:pos="709" w:leader="none"/>
        </w:tabs>
        <w:bidi w:val="0"/>
        <w:ind w:hanging="283" w:start="709"/>
        <w:jc w:val="both"/>
        <w:rPr/>
      </w:pPr>
      <w:r>
        <w:rPr>
          <w:rStyle w:val="Strong"/>
          <w:rFonts w:ascii="Manrope Medium" w:hAnsi="Manrope Medium"/>
        </w:rPr>
        <w:t>Operational slippage</w:t>
      </w:r>
      <w:r>
        <w:rPr>
          <w:rFonts w:ascii="Manrope Medium" w:hAnsi="Manrope Medium"/>
        </w:rPr>
        <w:t xml:space="preserve"> – On-ramping EUR into USD-based DeFi typically requires high-friction conversions via centralized exchanges.</w:t>
      </w:r>
    </w:p>
    <w:p>
      <w:pPr>
        <w:pStyle w:val="BodyText"/>
        <w:numPr>
          <w:ilvl w:val="0"/>
          <w:numId w:val="4"/>
        </w:numPr>
        <w:tabs>
          <w:tab w:val="left" w:pos="709" w:leader="none"/>
        </w:tabs>
        <w:bidi w:val="0"/>
        <w:ind w:hanging="283" w:start="709"/>
        <w:jc w:val="both"/>
        <w:rPr/>
      </w:pPr>
      <w:r>
        <w:rPr>
          <w:rStyle w:val="Strong"/>
          <w:rFonts w:ascii="Manrope Medium" w:hAnsi="Manrope Medium"/>
        </w:rPr>
        <w:t>Regulatory and tax complexity</w:t>
      </w:r>
      <w:r>
        <w:rPr>
          <w:rFonts w:ascii="Manrope Medium" w:hAnsi="Manrope Medium"/>
        </w:rPr>
        <w:t xml:space="preserve"> – Cross-currency gains may introduce additional accounting burdens and reduce fiscal clarity.</w:t>
      </w:r>
    </w:p>
    <w:p>
      <w:pPr>
        <w:pStyle w:val="BodyText"/>
        <w:bidi w:val="0"/>
        <w:jc w:val="both"/>
        <w:rPr>
          <w:rFonts w:ascii="Manrope Medium" w:hAnsi="Manrope Medium"/>
        </w:rPr>
      </w:pPr>
      <w:r>
        <w:rPr>
          <w:rFonts w:ascii="Manrope Medium" w:hAnsi="Manrope Medium"/>
        </w:rPr>
        <w:t>Consequently, euro-based users and institutions either remain absent from DeFi altogether or engage through inefficient intermediaries. This creates an untapped market segment, particularly among family offices, corporate treasuries, and fintech platforms seeking native euro liquidity.</w:t>
      </w:r>
    </w:p>
    <w:p>
      <w:pPr>
        <w:pStyle w:val="BodyText"/>
        <w:bidi w:val="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10" w:name="__RefHeading___Toc437_1632554855"/>
      <w:bookmarkEnd w:id="10"/>
      <w:r>
        <w:rPr>
          <w:rFonts w:ascii="Manrope Medium" w:hAnsi="Manrope Medium"/>
        </w:rPr>
        <w:t>3.3 Quantillon’s Competitive Edge</w:t>
      </w:r>
    </w:p>
    <w:p>
      <w:pPr>
        <w:pStyle w:val="BodyText"/>
        <w:bidi w:val="0"/>
        <w:jc w:val="both"/>
        <w:rPr>
          <w:rFonts w:ascii="Manrope Medium" w:hAnsi="Manrope Medium"/>
        </w:rPr>
      </w:pPr>
      <w:r>
        <w:rPr>
          <w:rFonts w:ascii="Manrope Medium" w:hAnsi="Manrope Medium"/>
        </w:rPr>
        <w:t>Quantillon Protocol is positioned to resolve the failures of previous euro stablecoins by aligning incentives and market architecture through three innovations:</w:t>
      </w:r>
    </w:p>
    <w:p>
      <w:pPr>
        <w:pStyle w:val="BodyText"/>
        <w:numPr>
          <w:ilvl w:val="0"/>
          <w:numId w:val="5"/>
        </w:numPr>
        <w:tabs>
          <w:tab w:val="left" w:pos="709" w:leader="none"/>
        </w:tabs>
        <w:bidi w:val="0"/>
        <w:ind w:hanging="283" w:start="709"/>
        <w:jc w:val="both"/>
        <w:rPr/>
      </w:pPr>
      <w:r>
        <w:rPr>
          <w:rStyle w:val="Strong"/>
          <w:rFonts w:ascii="Manrope Medium" w:hAnsi="Manrope Medium"/>
        </w:rPr>
        <w:t>Liquidity by Design:</w:t>
      </w:r>
      <w:r>
        <w:rPr>
          <w:rFonts w:ascii="Manrope Medium" w:hAnsi="Manrope Medium"/>
        </w:rPr>
        <w:t xml:space="preserve"> QEURO inherits USDC liquidity on the user side and Forex liquidity via the hedger side. This dual-channel design mitigates the need for external liquidity mining or bribing mechanisms.</w:t>
      </w:r>
    </w:p>
    <w:p>
      <w:pPr>
        <w:pStyle w:val="BodyText"/>
        <w:numPr>
          <w:ilvl w:val="0"/>
          <w:numId w:val="5"/>
        </w:numPr>
        <w:tabs>
          <w:tab w:val="left" w:pos="709" w:leader="none"/>
        </w:tabs>
        <w:bidi w:val="0"/>
        <w:ind w:hanging="283" w:start="709"/>
        <w:jc w:val="both"/>
        <w:rPr/>
      </w:pPr>
      <w:r>
        <w:rPr>
          <w:rStyle w:val="Strong"/>
          <w:rFonts w:ascii="Manrope Medium" w:hAnsi="Manrope Medium"/>
        </w:rPr>
        <w:t>Delta-Neutral Hedging:</w:t>
      </w:r>
      <w:r>
        <w:rPr>
          <w:rFonts w:ascii="Manrope Medium" w:hAnsi="Manrope Medium"/>
        </w:rPr>
        <w:t xml:space="preserve"> Unlike existing euro stablecoins, Quantillon introduces a permissionless hedging layer that allows collateral providers to neutralize EUR/USD exposure through protocol-native instruments. This supports peg stability and institutional hedging needs.</w:t>
      </w:r>
    </w:p>
    <w:p>
      <w:pPr>
        <w:pStyle w:val="BodyText"/>
        <w:numPr>
          <w:ilvl w:val="0"/>
          <w:numId w:val="5"/>
        </w:numPr>
        <w:tabs>
          <w:tab w:val="left" w:pos="709" w:leader="none"/>
        </w:tabs>
        <w:bidi w:val="0"/>
        <w:ind w:hanging="283" w:start="709"/>
        <w:jc w:val="both"/>
        <w:rPr/>
      </w:pPr>
      <w:r>
        <w:rPr>
          <w:rStyle w:val="Strong"/>
          <w:rFonts w:ascii="Manrope Medium" w:hAnsi="Manrope Medium"/>
        </w:rPr>
        <w:t>Yield Shift Mechanism:</w:t>
      </w:r>
      <w:r>
        <w:rPr>
          <w:rFonts w:ascii="Manrope Medium" w:hAnsi="Manrope Medium"/>
        </w:rPr>
        <w:t xml:space="preserve"> QEURO is not only a stablecoin but a savings instrument. By redistributing </w:t>
      </w:r>
      <w:r>
        <w:rPr>
          <w:rFonts w:ascii="Manrope Medium" w:hAnsi="Manrope Medium"/>
        </w:rPr>
        <w:t>most</w:t>
      </w:r>
      <w:r>
        <w:rPr>
          <w:rFonts w:ascii="Manrope Medium" w:hAnsi="Manrope Medium"/>
        </w:rPr>
        <w:t xml:space="preserve"> of the yield from collateral deployment (e.g., Aave) to users and hedgers via a dynamic ‘Yield Shift’, the protocol incentivizes long-term participation and peg maintenance.</w:t>
      </w:r>
    </w:p>
    <w:p>
      <w:pPr>
        <w:pStyle w:val="BodyText"/>
        <w:bidi w:val="0"/>
        <w:jc w:val="both"/>
        <w:rPr>
          <w:rFonts w:ascii="Manrope Medium" w:hAnsi="Manrope Medium"/>
        </w:rPr>
      </w:pPr>
      <w:r>
        <w:rPr>
          <w:rFonts w:ascii="Manrope Medium" w:hAnsi="Manrope Medium"/>
        </w:rPr>
        <w:t>These components create a uniquely sustainable design that addresses both supply (hedgers) and demand (euro users) sides of the market. By leveraging DeFi primitives and real-world financial theory—including FX swap economics and interest rate parity—Quantillon delivers a euro stablecoin that is liquid, scalable, and yield-generating.</w:t>
      </w:r>
    </w:p>
    <w:p>
      <w:pPr>
        <w:pStyle w:val="BodyText"/>
        <w:bidi w:val="0"/>
        <w:jc w:val="both"/>
        <w:rPr>
          <w:rFonts w:ascii="Manrope Medium" w:hAnsi="Manrope Medium"/>
        </w:rPr>
      </w:pPr>
      <w:r>
        <w:rPr>
          <w:rFonts w:ascii="Manrope Medium" w:hAnsi="Manrope Medium"/>
        </w:rPr>
        <w:t>In short, Quantillon does not merely replicate a euro version of USDC or DAI—it reengineers stablecoin economics from the ground up to serve European needs in a structurally USD-centric DeFi landscape.</w:t>
      </w:r>
    </w:p>
    <w:p>
      <w:pPr>
        <w:pStyle w:val="Normal"/>
        <w:bidi w:val="0"/>
        <w:jc w:val="both"/>
        <w:rPr>
          <w:rFonts w:ascii="Manrope Medium" w:hAnsi="Manrope Medium"/>
        </w:rPr>
      </w:pPr>
      <w:r>
        <w:rPr>
          <w:rFonts w:ascii="Manrope Medium" w:hAnsi="Manrope Medium"/>
        </w:rPr>
      </w:r>
      <w:r>
        <w:br w:type="page"/>
      </w:r>
    </w:p>
    <w:p>
      <w:pPr>
        <w:pStyle w:val="Heading2"/>
        <w:bidi w:val="0"/>
        <w:spacing w:before="0" w:after="120"/>
        <w:jc w:val="both"/>
        <w:rPr>
          <w:rFonts w:ascii="Manrope Medium" w:hAnsi="Manrope Medium"/>
        </w:rPr>
      </w:pPr>
      <w:bookmarkStart w:id="11" w:name="__RefHeading___Toc439_1632554855"/>
      <w:bookmarkEnd w:id="11"/>
      <w:r>
        <w:rPr>
          <w:rFonts w:ascii="Manrope Medium" w:hAnsi="Manrope Medium"/>
        </w:rPr>
        <w:t>4. Quantillon Protocol: Design &amp; Architecture</w:t>
      </w:r>
    </w:p>
    <w:p>
      <w:pPr>
        <w:pStyle w:val="BodyText"/>
        <w:bidi w:val="0"/>
        <w:spacing w:before="0" w:after="12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12" w:name="__RefHeading___Toc441_1632554855"/>
      <w:bookmarkEnd w:id="12"/>
      <w:r>
        <w:rPr>
          <w:rFonts w:ascii="Manrope Medium" w:hAnsi="Manrope Medium"/>
        </w:rPr>
        <w:t>4.1 QEURO Stablecoin Design: A Euro-Pegged, Overcollateralized Instrument</w:t>
      </w:r>
    </w:p>
    <w:p>
      <w:pPr>
        <w:pStyle w:val="BodyText"/>
        <w:bidi w:val="0"/>
        <w:jc w:val="both"/>
        <w:rPr>
          <w:rFonts w:ascii="Manrope Medium" w:hAnsi="Manrope Medium"/>
        </w:rPr>
      </w:pPr>
      <w:r>
        <w:rPr>
          <w:rFonts w:ascii="Manrope Medium" w:hAnsi="Manrope Medium"/>
        </w:rPr>
        <w:t>At the core of the Quantillon Protocol lies the QEURO—a euro-pegged stablecoin minted against overcollateralized reserves in USD stablecoins, initially USDC. The choice of overcollateralization offers a high-integrity approach to maintaining the peg and minimizing counterparty risk.</w:t>
      </w:r>
    </w:p>
    <w:p>
      <w:pPr>
        <w:pStyle w:val="BodyText"/>
        <w:bidi w:val="0"/>
        <w:jc w:val="both"/>
        <w:rPr>
          <w:rFonts w:ascii="Manrope Medium" w:hAnsi="Manrope Medium"/>
        </w:rPr>
      </w:pPr>
      <w:r>
        <w:rPr>
          <w:rFonts w:ascii="Manrope Medium" w:hAnsi="Manrope Medium"/>
        </w:rPr>
        <w:t>QEURO is minted permissionlessly at the oracle price, allowing any user to deposit accepted ERC20 assets which are then routed through the protocol’s smart contracts to be swapped into USDC and locked as collateral. The protocol ensures a minimum 101% collateralization ratio, with liquidation mechanisms triggered automatically via Chainlink or equivalent high-reliability oracles if the threshold is breached. Redeeming QEURO follows the same logic in reverse, enabling frictionless exit at minimal cost.</w:t>
      </w:r>
    </w:p>
    <w:p>
      <w:pPr>
        <w:pStyle w:val="BodyText"/>
        <w:bidi w:val="0"/>
        <w:jc w:val="both"/>
        <w:rPr>
          <w:rFonts w:ascii="Manrope Medium" w:hAnsi="Manrope Medium"/>
        </w:rPr>
      </w:pPr>
      <w:r>
        <w:rPr>
          <w:rFonts w:ascii="Manrope Medium" w:hAnsi="Manrope Medium"/>
        </w:rPr>
        <w:t>The result is a stablecoin that provides euro exposure with USD-based liquidity depth, solving a crucial mismatch in DeFi’s monetary architecture.</w:t>
      </w:r>
    </w:p>
    <w:p>
      <w:pPr>
        <w:pStyle w:val="BodyText"/>
        <w:bidi w:val="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13" w:name="__RefHeading___Toc443_1632554855"/>
      <w:bookmarkEnd w:id="13"/>
      <w:r>
        <w:rPr>
          <w:rFonts w:ascii="Manrope Medium" w:hAnsi="Manrope Medium"/>
        </w:rPr>
        <w:t>4.2 The Dual-Pool Model: Users and Hedgers</w:t>
      </w:r>
    </w:p>
    <w:p>
      <w:pPr>
        <w:pStyle w:val="BodyText"/>
        <w:bidi w:val="0"/>
        <w:jc w:val="both"/>
        <w:rPr/>
      </w:pPr>
      <w:r>
        <w:rPr>
          <w:rFonts w:ascii="Manrope Medium" w:hAnsi="Manrope Medium"/>
        </w:rPr>
        <w:t xml:space="preserve">Quantillon introduces a dual-pool mechanism involving two symbiotic actor groups: </w:t>
      </w:r>
      <w:r>
        <w:rPr>
          <w:rStyle w:val="Strong"/>
          <w:rFonts w:ascii="Manrope Medium" w:hAnsi="Manrope Medium"/>
        </w:rPr>
        <w:t>Users</w:t>
      </w:r>
      <w:r>
        <w:rPr>
          <w:rFonts w:ascii="Manrope Medium" w:hAnsi="Manrope Medium"/>
        </w:rPr>
        <w:t xml:space="preserve"> and </w:t>
      </w:r>
      <w:r>
        <w:rPr>
          <w:rStyle w:val="Strong"/>
          <w:rFonts w:ascii="Manrope Medium" w:hAnsi="Manrope Medium"/>
        </w:rPr>
        <w:t>Hedgers</w:t>
      </w:r>
      <w:r>
        <w:rPr>
          <w:rFonts w:ascii="Manrope Medium" w:hAnsi="Manrope Medium"/>
        </w:rPr>
        <w:t>.</w:t>
      </w:r>
    </w:p>
    <w:p>
      <w:pPr>
        <w:pStyle w:val="BodyText"/>
        <w:numPr>
          <w:ilvl w:val="0"/>
          <w:numId w:val="6"/>
        </w:numPr>
        <w:tabs>
          <w:tab w:val="left" w:pos="709" w:leader="none"/>
        </w:tabs>
        <w:bidi w:val="0"/>
        <w:ind w:hanging="283" w:start="709"/>
        <w:jc w:val="both"/>
        <w:rPr/>
      </w:pPr>
      <w:r>
        <w:rPr>
          <w:rStyle w:val="Strong"/>
          <w:rFonts w:ascii="Manrope Medium" w:hAnsi="Manrope Medium"/>
        </w:rPr>
        <w:t>Users</w:t>
      </w:r>
      <w:r>
        <w:rPr>
          <w:rFonts w:ascii="Manrope Medium" w:hAnsi="Manrope Medium"/>
        </w:rPr>
        <w:t xml:space="preserve"> are DeFi participants who mint QEURO to access euro-denominated liquidity or stake QEURO in order to earn yield. They deposit volatile or stable crypto assets, which are swapped into USDC and locked as protocol collateral. These users maintain exposure to the euro while benefiting from DeFi-native financial products.</w:t>
      </w:r>
    </w:p>
    <w:p>
      <w:pPr>
        <w:pStyle w:val="BodyText"/>
        <w:numPr>
          <w:ilvl w:val="0"/>
          <w:numId w:val="6"/>
        </w:numPr>
        <w:tabs>
          <w:tab w:val="left" w:pos="709" w:leader="none"/>
        </w:tabs>
        <w:bidi w:val="0"/>
        <w:ind w:hanging="283" w:start="709"/>
        <w:jc w:val="both"/>
        <w:rPr/>
      </w:pPr>
      <w:r>
        <w:rPr>
          <w:rStyle w:val="Strong"/>
          <w:rFonts w:ascii="Manrope Medium" w:hAnsi="Manrope Medium"/>
        </w:rPr>
        <w:t>Hedgers</w:t>
      </w:r>
      <w:r>
        <w:rPr>
          <w:rFonts w:ascii="Manrope Medium" w:hAnsi="Manrope Medium"/>
        </w:rPr>
        <w:t xml:space="preserve"> are actors who take the opposite position—providing USDC upfront to hedge against euro exposure. They effectively short the EUR/USD pair by engaging in a leveraged, unidirectional perpetual future. In return, they earn compensation consisting of (i) the EUR/USD interest rate differential (typically ~1% annually) and (ii) a variable "Yield Shift" bonus extracted from the collateral’s DeFi yield.</w:t>
      </w:r>
    </w:p>
    <w:p>
      <w:pPr>
        <w:pStyle w:val="BodyText"/>
        <w:bidi w:val="0"/>
        <w:jc w:val="both"/>
        <w:rPr>
          <w:rFonts w:ascii="Manrope Medium" w:hAnsi="Manrope Medium"/>
        </w:rPr>
      </w:pPr>
      <w:r>
        <w:rPr>
          <w:rFonts w:ascii="Manrope Medium" w:hAnsi="Manrope Medium"/>
        </w:rPr>
        <w:t>The protocol enforces a liquidation mechanism for hedgers as well: if their margin ratio drops below 1%, they are liquidated and penalized. This mechanism ensures disciplined FX exposure management and peg resilience.</w:t>
      </w:r>
    </w:p>
    <w:p>
      <w:pPr>
        <w:pStyle w:val="BodyText"/>
        <w:bidi w:val="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14" w:name="__RefHeading___Toc445_1632554855"/>
      <w:bookmarkEnd w:id="14"/>
      <w:r>
        <w:rPr>
          <w:rFonts w:ascii="Manrope Medium" w:hAnsi="Manrope Medium"/>
        </w:rPr>
        <w:t>4.3 Liquidity Architecture: Inheriting Depth from USDC and Forex</w:t>
      </w:r>
    </w:p>
    <w:p>
      <w:pPr>
        <w:pStyle w:val="BodyText"/>
        <w:bidi w:val="0"/>
        <w:jc w:val="both"/>
        <w:rPr>
          <w:rFonts w:ascii="Manrope Medium" w:hAnsi="Manrope Medium"/>
        </w:rPr>
      </w:pPr>
      <w:r>
        <w:rPr>
          <w:rFonts w:ascii="Manrope Medium" w:hAnsi="Manrope Medium"/>
        </w:rPr>
        <w:t>Unlike euro-stablecoin predecessors that relied heavily on centralized market makers or illiquid LP incentives, Quantillon’s model ensures "liquidity by design."</w:t>
      </w:r>
    </w:p>
    <w:p>
      <w:pPr>
        <w:pStyle w:val="BodyText"/>
        <w:numPr>
          <w:ilvl w:val="0"/>
          <w:numId w:val="7"/>
        </w:numPr>
        <w:tabs>
          <w:tab w:val="left" w:pos="709" w:leader="none"/>
        </w:tabs>
        <w:bidi w:val="0"/>
        <w:ind w:hanging="283" w:start="709"/>
        <w:jc w:val="both"/>
        <w:rPr/>
      </w:pPr>
      <w:r>
        <w:rPr>
          <w:rStyle w:val="Strong"/>
          <w:rFonts w:ascii="Manrope Medium" w:hAnsi="Manrope Medium"/>
        </w:rPr>
        <w:t>On the user side</w:t>
      </w:r>
      <w:r>
        <w:rPr>
          <w:rFonts w:ascii="Manrope Medium" w:hAnsi="Manrope Medium"/>
        </w:rPr>
        <w:t>, all incoming deposits are swapped into USDC—the most liquid dollar-based stablecoin—thus ensuring instant deployability and deep routing.</w:t>
      </w:r>
    </w:p>
    <w:p>
      <w:pPr>
        <w:pStyle w:val="BodyText"/>
        <w:numPr>
          <w:ilvl w:val="0"/>
          <w:numId w:val="7"/>
        </w:numPr>
        <w:tabs>
          <w:tab w:val="left" w:pos="709" w:leader="none"/>
        </w:tabs>
        <w:bidi w:val="0"/>
        <w:ind w:hanging="283" w:start="709"/>
        <w:jc w:val="both"/>
        <w:rPr/>
      </w:pPr>
      <w:r>
        <w:rPr>
          <w:rStyle w:val="Strong"/>
          <w:rFonts w:ascii="Manrope Medium" w:hAnsi="Manrope Medium"/>
        </w:rPr>
        <w:t>On the hedger side</w:t>
      </w:r>
      <w:r>
        <w:rPr>
          <w:rFonts w:ascii="Manrope Medium" w:hAnsi="Manrope Medium"/>
        </w:rPr>
        <w:t>, liquidity stems from traditional Forex markets, where EUR/USD is one of the most traded currency pairs globally. This design enables the protocol to scale capital efficiency without relying on shallow DEX pools or bribe-driven gauges.</w:t>
      </w:r>
    </w:p>
    <w:p>
      <w:pPr>
        <w:pStyle w:val="BodyText"/>
        <w:bidi w:val="0"/>
        <w:jc w:val="both"/>
        <w:rPr>
          <w:rFonts w:ascii="Manrope Medium" w:hAnsi="Manrope Medium"/>
        </w:rPr>
      </w:pPr>
      <w:r>
        <w:rPr>
          <w:rFonts w:ascii="Manrope Medium" w:hAnsi="Manrope Medium"/>
        </w:rPr>
        <w:t>As a result, QEURO enjoys both upstream (USDC) and downstream (Forex) liquidity, reinforcing slippage-free mint/redeem operations and improved user experience.</w:t>
      </w:r>
    </w:p>
    <w:p>
      <w:pPr>
        <w:pStyle w:val="BodyText"/>
        <w:bidi w:val="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15" w:name="__RefHeading___Toc447_1632554855"/>
      <w:bookmarkEnd w:id="15"/>
      <w:r>
        <w:rPr>
          <w:rFonts w:ascii="Manrope Medium" w:hAnsi="Manrope Medium"/>
        </w:rPr>
        <w:t>4.4 Native Composability and Embedded DEX</w:t>
      </w:r>
    </w:p>
    <w:p>
      <w:pPr>
        <w:pStyle w:val="BodyText"/>
        <w:bidi w:val="0"/>
        <w:jc w:val="both"/>
        <w:rPr>
          <w:rFonts w:ascii="Manrope Medium" w:hAnsi="Manrope Medium"/>
        </w:rPr>
      </w:pPr>
      <w:r>
        <w:rPr>
          <w:rFonts w:ascii="Manrope Medium" w:hAnsi="Manrope Medium"/>
        </w:rPr>
        <w:t>Quantillon is designed as a holistically integrated protocol stack. Rather than relying on external DEXs like Curve or Balancer, the protocol features its own embedded exchange mechanism. This ensures control over routing fees, eliminates bribing systems, and increases revenue retention.</w:t>
      </w:r>
    </w:p>
    <w:p>
      <w:pPr>
        <w:pStyle w:val="BodyText"/>
        <w:bidi w:val="0"/>
        <w:jc w:val="both"/>
        <w:rPr>
          <w:rFonts w:ascii="Manrope Medium" w:hAnsi="Manrope Medium"/>
        </w:rPr>
      </w:pPr>
      <w:r>
        <w:rPr>
          <w:rFonts w:ascii="Manrope Medium" w:hAnsi="Manrope Medium"/>
        </w:rPr>
        <w:t>Smart contract logic for mint/redeem, hedging, staking, liquidation, and governance is unified under a modular Solidity-based architecture audited and battle-tested through external bug bounty programs. Governance functions, including Yield Shift calibration and vault whitelisting, are performed by holders of the $QTI token.</w:t>
      </w:r>
    </w:p>
    <w:p>
      <w:pPr>
        <w:pStyle w:val="BodyText"/>
        <w:bidi w:val="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16" w:name="__RefHeading___Toc449_1632554855"/>
      <w:bookmarkEnd w:id="16"/>
      <w:r>
        <w:rPr>
          <w:rFonts w:ascii="Manrope Medium" w:hAnsi="Manrope Medium"/>
        </w:rPr>
        <w:t>4.5 Vault Variants: Modular Architecture for Risk Segmentation</w:t>
      </w:r>
    </w:p>
    <w:p>
      <w:pPr>
        <w:pStyle w:val="BodyText"/>
        <w:bidi w:val="0"/>
        <w:jc w:val="both"/>
        <w:rPr>
          <w:rFonts w:ascii="Manrope Medium" w:hAnsi="Manrope Medium"/>
        </w:rPr>
      </w:pPr>
      <w:r>
        <w:rPr>
          <w:rFonts w:ascii="Manrope Medium" w:hAnsi="Manrope Medium"/>
        </w:rPr>
        <w:t>Quantillon's modular design enables multiple vault variants, each corresponding to specific collateral backends and risk profiles. This architecture serves diverse user needs while maintaining unified euro peg mechanics across all variants.</w:t>
      </w:r>
    </w:p>
    <w:p>
      <w:pPr>
        <w:pStyle w:val="BodyText"/>
        <w:bidi w:val="0"/>
        <w:jc w:val="both"/>
        <w:rPr/>
      </w:pPr>
      <w:r>
        <w:rPr>
          <w:rFonts w:ascii="Manrope Medium" w:hAnsi="Manrope Medium"/>
          <w:b/>
          <w:bCs/>
        </w:rPr>
        <w:t>Vault Portfolio Overview</w:t>
      </w:r>
    </w:p>
    <w:tbl>
      <w:tblPr>
        <w:tblW w:w="9605" w:type="dxa"/>
        <w:jc w:val="start"/>
        <w:tblInd w:w="0" w:type="dxa"/>
        <w:tblLayout w:type="fixed"/>
        <w:tblCellMar>
          <w:top w:w="28" w:type="dxa"/>
          <w:start w:w="28" w:type="dxa"/>
          <w:bottom w:w="28" w:type="dxa"/>
          <w:end w:w="28" w:type="dxa"/>
        </w:tblCellMar>
      </w:tblPr>
      <w:tblGrid>
        <w:gridCol w:w="1321"/>
        <w:gridCol w:w="3271"/>
        <w:gridCol w:w="1456"/>
        <w:gridCol w:w="1366"/>
        <w:gridCol w:w="2191"/>
      </w:tblGrid>
      <w:tr>
        <w:trPr>
          <w:tblHeader w:val="true"/>
        </w:trPr>
        <w:tc>
          <w:tcPr>
            <w:tcW w:w="1321" w:type="dxa"/>
            <w:tcBorders/>
            <w:vAlign w:val="center"/>
          </w:tcPr>
          <w:p>
            <w:pPr>
              <w:pStyle w:val="Titredetableau"/>
              <w:rPr/>
            </w:pPr>
            <w:r>
              <w:rPr/>
              <w:t>Vault Type</w:t>
            </w:r>
          </w:p>
        </w:tc>
        <w:tc>
          <w:tcPr>
            <w:tcW w:w="3271" w:type="dxa"/>
            <w:tcBorders/>
            <w:vAlign w:val="center"/>
          </w:tcPr>
          <w:p>
            <w:pPr>
              <w:pStyle w:val="Titredetableau"/>
              <w:rPr/>
            </w:pPr>
            <w:r>
              <w:rPr/>
              <w:t>Collateral Backend</w:t>
            </w:r>
          </w:p>
        </w:tc>
        <w:tc>
          <w:tcPr>
            <w:tcW w:w="1456" w:type="dxa"/>
            <w:tcBorders/>
            <w:vAlign w:val="center"/>
          </w:tcPr>
          <w:p>
            <w:pPr>
              <w:pStyle w:val="Titredetableau"/>
              <w:rPr/>
            </w:pPr>
            <w:r>
              <w:rPr/>
              <w:t>Risk Profile</w:t>
            </w:r>
          </w:p>
        </w:tc>
        <w:tc>
          <w:tcPr>
            <w:tcW w:w="1366" w:type="dxa"/>
            <w:tcBorders/>
            <w:vAlign w:val="center"/>
          </w:tcPr>
          <w:p>
            <w:pPr>
              <w:pStyle w:val="Titredetableau"/>
              <w:rPr/>
            </w:pPr>
            <w:r>
              <w:rPr/>
              <w:t>Target APY</w:t>
            </w:r>
          </w:p>
        </w:tc>
        <w:tc>
          <w:tcPr>
            <w:tcW w:w="2191" w:type="dxa"/>
            <w:tcBorders/>
            <w:vAlign w:val="center"/>
          </w:tcPr>
          <w:p>
            <w:pPr>
              <w:pStyle w:val="Titredetableau"/>
              <w:rPr/>
            </w:pPr>
            <w:r>
              <w:rPr/>
              <w:t>Target Users</w:t>
            </w:r>
          </w:p>
        </w:tc>
      </w:tr>
      <w:tr>
        <w:trPr/>
        <w:tc>
          <w:tcPr>
            <w:tcW w:w="1321" w:type="dxa"/>
            <w:tcBorders/>
            <w:vAlign w:val="center"/>
          </w:tcPr>
          <w:p>
            <w:pPr>
              <w:pStyle w:val="Contenudetableau"/>
              <w:rPr/>
            </w:pPr>
            <w:r>
              <w:rPr>
                <w:rStyle w:val="Strong"/>
              </w:rPr>
              <w:t>aQEURO</w:t>
            </w:r>
          </w:p>
        </w:tc>
        <w:tc>
          <w:tcPr>
            <w:tcW w:w="3271" w:type="dxa"/>
            <w:tcBorders/>
            <w:vAlign w:val="center"/>
          </w:tcPr>
          <w:p>
            <w:pPr>
              <w:pStyle w:val="Contenudetableau"/>
              <w:rPr/>
            </w:pPr>
            <w:r>
              <w:rPr/>
              <w:t>Aave USDC lending</w:t>
            </w:r>
          </w:p>
        </w:tc>
        <w:tc>
          <w:tcPr>
            <w:tcW w:w="1456" w:type="dxa"/>
            <w:tcBorders/>
            <w:vAlign w:val="center"/>
          </w:tcPr>
          <w:p>
            <w:pPr>
              <w:pStyle w:val="Contenudetableau"/>
              <w:rPr/>
            </w:pPr>
            <w:r>
              <w:rPr/>
              <w:t xml:space="preserve">🟢 </w:t>
            </w:r>
            <w:r>
              <w:rPr/>
              <w:t>Low</w:t>
            </w:r>
          </w:p>
        </w:tc>
        <w:tc>
          <w:tcPr>
            <w:tcW w:w="1366" w:type="dxa"/>
            <w:tcBorders/>
            <w:vAlign w:val="center"/>
          </w:tcPr>
          <w:p>
            <w:pPr>
              <w:pStyle w:val="Contenudetableau"/>
              <w:rPr/>
            </w:pPr>
            <w:r>
              <w:rPr/>
              <w:t>4-8%</w:t>
            </w:r>
          </w:p>
        </w:tc>
        <w:tc>
          <w:tcPr>
            <w:tcW w:w="2191" w:type="dxa"/>
            <w:tcBorders/>
            <w:vAlign w:val="center"/>
          </w:tcPr>
          <w:p>
            <w:pPr>
              <w:pStyle w:val="Contenudetableau"/>
              <w:rPr/>
            </w:pPr>
            <w:r>
              <w:rPr/>
              <w:t>Retail investors</w:t>
            </w:r>
          </w:p>
        </w:tc>
      </w:tr>
      <w:tr>
        <w:trPr/>
        <w:tc>
          <w:tcPr>
            <w:tcW w:w="1321" w:type="dxa"/>
            <w:tcBorders/>
            <w:vAlign w:val="center"/>
          </w:tcPr>
          <w:p>
            <w:pPr>
              <w:pStyle w:val="Contenudetableau"/>
              <w:rPr/>
            </w:pPr>
            <w:r>
              <w:rPr>
                <w:rStyle w:val="Strong"/>
              </w:rPr>
              <w:t>mQEURO</w:t>
            </w:r>
          </w:p>
        </w:tc>
        <w:tc>
          <w:tcPr>
            <w:tcW w:w="3271" w:type="dxa"/>
            <w:tcBorders/>
            <w:vAlign w:val="center"/>
          </w:tcPr>
          <w:p>
            <w:pPr>
              <w:pStyle w:val="Contenudetableau"/>
              <w:rPr/>
            </w:pPr>
            <w:r>
              <w:rPr/>
              <w:t>MakerDAO PSM/DSR</w:t>
            </w:r>
          </w:p>
        </w:tc>
        <w:tc>
          <w:tcPr>
            <w:tcW w:w="1456" w:type="dxa"/>
            <w:tcBorders/>
            <w:vAlign w:val="center"/>
          </w:tcPr>
          <w:p>
            <w:pPr>
              <w:pStyle w:val="Contenudetableau"/>
              <w:rPr/>
            </w:pPr>
            <w:r>
              <w:rPr/>
              <w:t xml:space="preserve">🟢 </w:t>
            </w:r>
            <w:r>
              <w:rPr/>
              <w:t>Very Low</w:t>
            </w:r>
          </w:p>
        </w:tc>
        <w:tc>
          <w:tcPr>
            <w:tcW w:w="1366" w:type="dxa"/>
            <w:tcBorders/>
            <w:vAlign w:val="center"/>
          </w:tcPr>
          <w:p>
            <w:pPr>
              <w:pStyle w:val="Contenudetableau"/>
              <w:rPr/>
            </w:pPr>
            <w:r>
              <w:rPr/>
              <w:t>3-6%</w:t>
            </w:r>
          </w:p>
        </w:tc>
        <w:tc>
          <w:tcPr>
            <w:tcW w:w="2191" w:type="dxa"/>
            <w:tcBorders/>
            <w:vAlign w:val="center"/>
          </w:tcPr>
          <w:p>
            <w:pPr>
              <w:pStyle w:val="Contenudetableau"/>
              <w:rPr/>
            </w:pPr>
            <w:r>
              <w:rPr/>
              <w:t>Conservative users</w:t>
            </w:r>
          </w:p>
        </w:tc>
      </w:tr>
      <w:tr>
        <w:trPr/>
        <w:tc>
          <w:tcPr>
            <w:tcW w:w="1321" w:type="dxa"/>
            <w:tcBorders/>
            <w:vAlign w:val="center"/>
          </w:tcPr>
          <w:p>
            <w:pPr>
              <w:pStyle w:val="Contenudetableau"/>
              <w:rPr/>
            </w:pPr>
            <w:r>
              <w:rPr>
                <w:rStyle w:val="Strong"/>
              </w:rPr>
              <w:t>bQEURO</w:t>
            </w:r>
          </w:p>
        </w:tc>
        <w:tc>
          <w:tcPr>
            <w:tcW w:w="3271" w:type="dxa"/>
            <w:tcBorders/>
            <w:vAlign w:val="center"/>
          </w:tcPr>
          <w:p>
            <w:pPr>
              <w:pStyle w:val="Contenudetableau"/>
              <w:rPr/>
            </w:pPr>
            <w:r>
              <w:rPr/>
              <w:t>Tokenized T-Bills &amp; RWAs</w:t>
            </w:r>
          </w:p>
        </w:tc>
        <w:tc>
          <w:tcPr>
            <w:tcW w:w="1456" w:type="dxa"/>
            <w:tcBorders/>
            <w:vAlign w:val="center"/>
          </w:tcPr>
          <w:p>
            <w:pPr>
              <w:pStyle w:val="Contenudetableau"/>
              <w:rPr/>
            </w:pPr>
            <w:r>
              <w:rPr/>
              <w:t xml:space="preserve">🟢 </w:t>
            </w:r>
            <w:r>
              <w:rPr/>
              <w:t>Low</w:t>
            </w:r>
          </w:p>
        </w:tc>
        <w:tc>
          <w:tcPr>
            <w:tcW w:w="1366" w:type="dxa"/>
            <w:tcBorders/>
            <w:vAlign w:val="center"/>
          </w:tcPr>
          <w:p>
            <w:pPr>
              <w:pStyle w:val="Contenudetableau"/>
              <w:rPr/>
            </w:pPr>
            <w:r>
              <w:rPr/>
              <w:t>5-7%</w:t>
            </w:r>
          </w:p>
        </w:tc>
        <w:tc>
          <w:tcPr>
            <w:tcW w:w="2191" w:type="dxa"/>
            <w:tcBorders/>
            <w:vAlign w:val="center"/>
          </w:tcPr>
          <w:p>
            <w:pPr>
              <w:pStyle w:val="Contenudetableau"/>
              <w:rPr/>
            </w:pPr>
            <w:r>
              <w:rPr/>
              <w:t>Institutions</w:t>
            </w:r>
          </w:p>
        </w:tc>
      </w:tr>
      <w:tr>
        <w:trPr/>
        <w:tc>
          <w:tcPr>
            <w:tcW w:w="1321" w:type="dxa"/>
            <w:tcBorders/>
            <w:vAlign w:val="center"/>
          </w:tcPr>
          <w:p>
            <w:pPr>
              <w:pStyle w:val="Contenudetableau"/>
              <w:rPr/>
            </w:pPr>
            <w:r>
              <w:rPr>
                <w:rStyle w:val="Strong"/>
              </w:rPr>
              <w:t>eQEURO</w:t>
            </w:r>
          </w:p>
        </w:tc>
        <w:tc>
          <w:tcPr>
            <w:tcW w:w="3271" w:type="dxa"/>
            <w:tcBorders/>
            <w:vAlign w:val="center"/>
          </w:tcPr>
          <w:p>
            <w:pPr>
              <w:pStyle w:val="Contenudetableau"/>
              <w:rPr/>
            </w:pPr>
            <w:r>
              <w:rPr/>
              <w:t>Ethena &amp; advanced strategies</w:t>
            </w:r>
          </w:p>
        </w:tc>
        <w:tc>
          <w:tcPr>
            <w:tcW w:w="1456" w:type="dxa"/>
            <w:tcBorders/>
            <w:vAlign w:val="center"/>
          </w:tcPr>
          <w:p>
            <w:pPr>
              <w:pStyle w:val="Contenudetableau"/>
              <w:rPr/>
            </w:pPr>
            <w:r>
              <w:rPr/>
              <w:t xml:space="preserve">🟡 </w:t>
            </w:r>
            <w:r>
              <w:rPr/>
              <w:t>Medium</w:t>
            </w:r>
          </w:p>
        </w:tc>
        <w:tc>
          <w:tcPr>
            <w:tcW w:w="1366" w:type="dxa"/>
            <w:tcBorders/>
            <w:vAlign w:val="center"/>
          </w:tcPr>
          <w:p>
            <w:pPr>
              <w:pStyle w:val="Contenudetableau"/>
              <w:rPr/>
            </w:pPr>
            <w:r>
              <w:rPr/>
              <w:t>6-12%</w:t>
            </w:r>
          </w:p>
        </w:tc>
        <w:tc>
          <w:tcPr>
            <w:tcW w:w="2191" w:type="dxa"/>
            <w:tcBorders/>
            <w:vAlign w:val="center"/>
          </w:tcPr>
          <w:p>
            <w:pPr>
              <w:pStyle w:val="Contenudetableau"/>
              <w:rPr/>
            </w:pPr>
            <w:r>
              <w:rPr/>
              <w:t>Sophisticated DeFi</w:t>
            </w:r>
          </w:p>
          <w:p>
            <w:pPr>
              <w:pStyle w:val="Contenudetableau"/>
              <w:rPr>
                <w:b/>
                <w:bCs/>
              </w:rPr>
            </w:pPr>
            <w:r>
              <w:rPr>
                <w:b/>
                <w:bCs/>
              </w:rPr>
            </w:r>
          </w:p>
        </w:tc>
      </w:tr>
    </w:tbl>
    <w:p>
      <w:pPr>
        <w:pStyle w:val="BodyText"/>
        <w:jc w:val="both"/>
        <w:rPr>
          <w:b/>
          <w:bCs/>
        </w:rPr>
      </w:pPr>
      <w:r>
        <w:rPr>
          <w:b/>
          <w:bCs/>
        </w:rPr>
      </w:r>
    </w:p>
    <w:p>
      <w:pPr>
        <w:pStyle w:val="BodyText"/>
        <w:jc w:val="both"/>
        <w:rPr>
          <w:b/>
          <w:bCs/>
        </w:rPr>
      </w:pPr>
      <w:bookmarkStart w:id="17" w:name="__RefHeading___Toc3151_59253517"/>
      <w:bookmarkStart w:id="18" w:name="detailedvaultspecifications"/>
      <w:bookmarkEnd w:id="17"/>
      <w:bookmarkEnd w:id="18"/>
      <w:r>
        <w:rPr>
          <w:b/>
          <w:bCs/>
        </w:rPr>
        <w:t>Detailed Vault Specifications</w:t>
      </w:r>
    </w:p>
    <w:p>
      <w:pPr>
        <w:pStyle w:val="BodyText"/>
        <w:bidi w:val="0"/>
        <w:jc w:val="both"/>
        <w:rPr>
          <w:rFonts w:ascii="Manrope Medium" w:hAnsi="Manrope Medium"/>
        </w:rPr>
      </w:pPr>
      <w:r>
        <w:rPr>
          <w:rFonts w:ascii="Manrope Medium" w:hAnsi="Manrope Medium"/>
        </w:rPr>
        <w:t>aQEURO (Aave Integration - Default Configuration)</w:t>
      </w:r>
    </w:p>
    <w:p>
      <w:pPr>
        <w:pStyle w:val="BodyText"/>
        <w:bidi w:val="0"/>
        <w:ind w:hanging="0" w:start="709"/>
        <w:jc w:val="both"/>
        <w:rPr>
          <w:rFonts w:ascii="Manrope Medium" w:hAnsi="Manrope Medium"/>
        </w:rPr>
      </w:pPr>
      <w:r>
        <w:rPr>
          <w:rFonts w:ascii="Manrope Medium" w:hAnsi="Manrope Medium"/>
        </w:rPr>
        <w:t xml:space="preserve">    • </w:t>
      </w:r>
      <w:r>
        <w:rPr>
          <w:rFonts w:ascii="Manrope Medium" w:hAnsi="Manrope Medium"/>
        </w:rPr>
        <w:t>Collateral Deployment:  Aave USDC lending</w:t>
      </w:r>
    </w:p>
    <w:p>
      <w:pPr>
        <w:pStyle w:val="BodyText"/>
        <w:bidi w:val="0"/>
        <w:ind w:hanging="0" w:start="709"/>
        <w:jc w:val="both"/>
        <w:rPr>
          <w:rFonts w:ascii="Manrope Medium" w:hAnsi="Manrope Medium"/>
        </w:rPr>
      </w:pPr>
      <w:r>
        <w:rPr>
          <w:rFonts w:ascii="Manrope Medium" w:hAnsi="Manrope Medium"/>
        </w:rPr>
        <w:t xml:space="preserve">    • </w:t>
      </w:r>
      <w:r>
        <w:rPr>
          <w:rFonts w:ascii="Manrope Medium" w:hAnsi="Manrope Medium"/>
        </w:rPr>
        <w:t xml:space="preserve">Yield Mechanism: Direct participation in Aave lending markets with dynamic APY </w:t>
      </w:r>
    </w:p>
    <w:p>
      <w:pPr>
        <w:pStyle w:val="BodyText"/>
        <w:bidi w:val="0"/>
        <w:ind w:hanging="0" w:start="709"/>
        <w:jc w:val="both"/>
        <w:rPr>
          <w:rFonts w:ascii="Manrope Medium" w:hAnsi="Manrope Medium"/>
        </w:rPr>
      </w:pPr>
      <w:r>
        <w:rPr>
          <w:rFonts w:ascii="Manrope Medium" w:hAnsi="Manrope Medium"/>
        </w:rPr>
        <w:t xml:space="preserve">    • </w:t>
      </w:r>
      <w:r>
        <w:rPr>
          <w:rFonts w:ascii="Manrope Medium" w:hAnsi="Manrope Medium"/>
        </w:rPr>
        <w:t xml:space="preserve">Risk Factors: Aave protocol risk, USDC depeg risk, smart contract risk </w:t>
      </w:r>
    </w:p>
    <w:p>
      <w:pPr>
        <w:pStyle w:val="BodyText"/>
        <w:bidi w:val="0"/>
        <w:ind w:hanging="0" w:start="709"/>
        <w:jc w:val="both"/>
        <w:rPr>
          <w:rFonts w:ascii="Manrope Medium" w:hAnsi="Manrope Medium"/>
        </w:rPr>
      </w:pPr>
      <w:r>
        <w:rPr>
          <w:rFonts w:ascii="Manrope Medium" w:hAnsi="Manrope Medium"/>
        </w:rPr>
        <w:t xml:space="preserve">    • </w:t>
      </w:r>
      <w:r>
        <w:rPr>
          <w:rFonts w:ascii="Manrope Medium" w:hAnsi="Manrope Medium"/>
        </w:rPr>
        <w:t xml:space="preserve">Target Users: Retail DeFi users seeking stable euro yield with proven infrastructure </w:t>
      </w:r>
    </w:p>
    <w:p>
      <w:pPr>
        <w:pStyle w:val="BodyText"/>
        <w:bidi w:val="0"/>
        <w:jc w:val="both"/>
        <w:rPr>
          <w:rFonts w:ascii="Manrope Medium" w:hAnsi="Manrope Medium"/>
        </w:rPr>
      </w:pPr>
      <w:r>
        <w:rPr>
          <w:rFonts w:ascii="Manrope Medium" w:hAnsi="Manrope Medium"/>
        </w:rPr>
        <w:t>mQEURO (MakerDAO Integration)</w:t>
      </w:r>
    </w:p>
    <w:p>
      <w:pPr>
        <w:pStyle w:val="BodyText"/>
        <w:bidi w:val="0"/>
        <w:ind w:hanging="0" w:start="709"/>
        <w:jc w:val="both"/>
        <w:rPr>
          <w:rFonts w:ascii="Manrope Medium" w:hAnsi="Manrope Medium"/>
        </w:rPr>
      </w:pPr>
      <w:r>
        <w:rPr>
          <w:rFonts w:ascii="Manrope Medium" w:hAnsi="Manrope Medium"/>
        </w:rPr>
        <w:t xml:space="preserve">    • </w:t>
      </w:r>
      <w:r>
        <w:rPr>
          <w:rFonts w:ascii="Manrope Medium" w:hAnsi="Manrope Medium"/>
        </w:rPr>
        <w:t xml:space="preserve">Collateral Deployment: MakerDAO Peg Stability Module (PSM) and Dai Savings Rate (DSR) </w:t>
      </w:r>
    </w:p>
    <w:p>
      <w:pPr>
        <w:pStyle w:val="BodyText"/>
        <w:bidi w:val="0"/>
        <w:ind w:hanging="0" w:start="709"/>
        <w:jc w:val="both"/>
        <w:rPr>
          <w:rFonts w:ascii="Manrope Medium" w:hAnsi="Manrope Medium"/>
        </w:rPr>
      </w:pPr>
      <w:r>
        <w:rPr>
          <w:rFonts w:ascii="Manrope Medium" w:hAnsi="Manrope Medium"/>
        </w:rPr>
        <w:t xml:space="preserve">    • </w:t>
      </w:r>
      <w:r>
        <w:rPr>
          <w:rFonts w:ascii="Manrope Medium" w:hAnsi="Manrope Medium"/>
        </w:rPr>
        <w:t xml:space="preserve">Yield Mechanism: Conservative yield through DAI ecosystem stability mechanisms </w:t>
      </w:r>
    </w:p>
    <w:p>
      <w:pPr>
        <w:pStyle w:val="BodyText"/>
        <w:bidi w:val="0"/>
        <w:ind w:hanging="0" w:start="709"/>
        <w:jc w:val="both"/>
        <w:rPr>
          <w:rFonts w:ascii="Manrope Medium" w:hAnsi="Manrope Medium"/>
        </w:rPr>
      </w:pPr>
      <w:r>
        <w:rPr>
          <w:rFonts w:ascii="Manrope Medium" w:hAnsi="Manrope Medium"/>
        </w:rPr>
        <w:t xml:space="preserve">    • </w:t>
      </w:r>
      <w:r>
        <w:rPr>
          <w:rFonts w:ascii="Manrope Medium" w:hAnsi="Manrope Medium"/>
        </w:rPr>
        <w:t xml:space="preserve">Risk Factors: MakerDAO governance risk, DAI stability risk </w:t>
      </w:r>
    </w:p>
    <w:p>
      <w:pPr>
        <w:pStyle w:val="BodyText"/>
        <w:bidi w:val="0"/>
        <w:ind w:hanging="0" w:start="709"/>
        <w:jc w:val="both"/>
        <w:rPr>
          <w:rFonts w:ascii="Manrope Medium" w:hAnsi="Manrope Medium"/>
        </w:rPr>
      </w:pPr>
      <w:r>
        <w:rPr>
          <w:rFonts w:ascii="Manrope Medium" w:hAnsi="Manrope Medium"/>
        </w:rPr>
        <w:t xml:space="preserve">    • </w:t>
      </w:r>
      <w:r>
        <w:rPr>
          <w:rFonts w:ascii="Manrope Medium" w:hAnsi="Manrope Medium"/>
        </w:rPr>
        <w:t xml:space="preserve">Target Users: Ultra-conservative users prioritizing capital preservation </w:t>
      </w:r>
    </w:p>
    <w:p>
      <w:pPr>
        <w:pStyle w:val="BodyText"/>
        <w:bidi w:val="0"/>
        <w:jc w:val="both"/>
        <w:rPr>
          <w:rFonts w:ascii="Manrope Medium" w:hAnsi="Manrope Medium"/>
        </w:rPr>
      </w:pPr>
      <w:r>
        <w:rPr>
          <w:rFonts w:ascii="Manrope Medium" w:hAnsi="Manrope Medium"/>
        </w:rPr>
        <w:t>bQEURO (Real World Assets Focus)</w:t>
      </w:r>
    </w:p>
    <w:p>
      <w:pPr>
        <w:pStyle w:val="BodyText"/>
        <w:bidi w:val="0"/>
        <w:ind w:hanging="0" w:start="709"/>
        <w:jc w:val="both"/>
        <w:rPr>
          <w:rFonts w:ascii="Manrope Medium" w:hAnsi="Manrope Medium"/>
        </w:rPr>
      </w:pPr>
      <w:r>
        <w:rPr>
          <w:rFonts w:ascii="Manrope Medium" w:hAnsi="Manrope Medium"/>
        </w:rPr>
        <w:t xml:space="preserve">    • </w:t>
      </w:r>
      <w:r>
        <w:rPr>
          <w:rFonts w:ascii="Manrope Medium" w:hAnsi="Manrope Medium"/>
        </w:rPr>
        <w:t xml:space="preserve">Collateral Deployment: Tokenized U.S. Treasury Bills, </w:t>
      </w:r>
      <w:r>
        <w:rPr>
          <w:rFonts w:ascii="Manrope Medium" w:hAnsi="Manrope Medium"/>
        </w:rPr>
        <w:t>European</w:t>
      </w:r>
      <w:r>
        <w:rPr>
          <w:rFonts w:ascii="Manrope Medium" w:hAnsi="Manrope Medium"/>
        </w:rPr>
        <w:t xml:space="preserve"> Bunds, Corporate Bonds </w:t>
      </w:r>
    </w:p>
    <w:p>
      <w:pPr>
        <w:pStyle w:val="BodyText"/>
        <w:bidi w:val="0"/>
        <w:ind w:hanging="0" w:start="709"/>
        <w:jc w:val="both"/>
        <w:rPr>
          <w:rFonts w:ascii="Manrope Medium" w:hAnsi="Manrope Medium"/>
        </w:rPr>
      </w:pPr>
      <w:r>
        <w:rPr>
          <w:rFonts w:ascii="Manrope Medium" w:hAnsi="Manrope Medium"/>
        </w:rPr>
        <w:t xml:space="preserve">    • </w:t>
      </w:r>
      <w:r>
        <w:rPr>
          <w:rFonts w:ascii="Manrope Medium" w:hAnsi="Manrope Medium"/>
        </w:rPr>
        <w:t xml:space="preserve">Yield Mechanism: Traditional fixed-income yields through compliant tokenization platforms </w:t>
      </w:r>
    </w:p>
    <w:p>
      <w:pPr>
        <w:pStyle w:val="BodyText"/>
        <w:bidi w:val="0"/>
        <w:ind w:hanging="0" w:start="709"/>
        <w:jc w:val="both"/>
        <w:rPr>
          <w:rFonts w:ascii="Manrope Medium" w:hAnsi="Manrope Medium"/>
        </w:rPr>
      </w:pPr>
      <w:r>
        <w:rPr>
          <w:rFonts w:ascii="Manrope Medium" w:hAnsi="Manrope Medium"/>
        </w:rPr>
        <w:t xml:space="preserve">    • </w:t>
      </w:r>
      <w:r>
        <w:rPr>
          <w:rFonts w:ascii="Manrope Medium" w:hAnsi="Manrope Medium"/>
        </w:rPr>
        <w:t xml:space="preserve">Risk Factors: Custody risk, regulatory risk, lower liquidity </w:t>
      </w:r>
    </w:p>
    <w:p>
      <w:pPr>
        <w:pStyle w:val="BodyText"/>
        <w:bidi w:val="0"/>
        <w:ind w:hanging="0" w:start="709"/>
        <w:jc w:val="both"/>
        <w:rPr>
          <w:rFonts w:ascii="Manrope Medium" w:hAnsi="Manrope Medium"/>
        </w:rPr>
      </w:pPr>
      <w:r>
        <w:rPr>
          <w:rFonts w:ascii="Manrope Medium" w:hAnsi="Manrope Medium"/>
        </w:rPr>
        <w:t xml:space="preserve">    • </w:t>
      </w:r>
      <w:r>
        <w:rPr>
          <w:rFonts w:ascii="Manrope Medium" w:hAnsi="Manrope Medium"/>
        </w:rPr>
        <w:t xml:space="preserve">Target Users: Institutional investors requiring regulatory clarity and traditional yield sources </w:t>
      </w:r>
    </w:p>
    <w:p>
      <w:pPr>
        <w:pStyle w:val="BodyText"/>
        <w:bidi w:val="0"/>
        <w:ind w:hanging="0" w:start="709"/>
        <w:jc w:val="both"/>
        <w:rPr>
          <w:rFonts w:ascii="Manrope Medium" w:hAnsi="Manrope Medium"/>
        </w:rPr>
      </w:pPr>
      <w:r>
        <w:rPr>
          <w:rFonts w:ascii="Manrope Medium" w:hAnsi="Manrope Medium"/>
        </w:rPr>
        <w:t xml:space="preserve">    • </w:t>
      </w:r>
      <w:r>
        <w:rPr>
          <w:rFonts w:ascii="Manrope Medium" w:hAnsi="Manrope Medium"/>
        </w:rPr>
        <w:t xml:space="preserve">Minimum Threshold: €100,000 institutional access requirement </w:t>
      </w:r>
    </w:p>
    <w:p>
      <w:pPr>
        <w:pStyle w:val="BodyText"/>
        <w:bidi w:val="0"/>
        <w:jc w:val="both"/>
        <w:rPr>
          <w:rFonts w:ascii="Manrope Medium" w:hAnsi="Manrope Medium"/>
        </w:rPr>
      </w:pPr>
      <w:r>
        <w:rPr>
          <w:rFonts w:ascii="Manrope Medium" w:hAnsi="Manrope Medium"/>
        </w:rPr>
        <w:t>eQEURO (Advanced DeFi Strategies)</w:t>
      </w:r>
    </w:p>
    <w:p>
      <w:pPr>
        <w:pStyle w:val="BodyText"/>
        <w:bidi w:val="0"/>
        <w:ind w:hanging="0" w:start="709"/>
        <w:jc w:val="both"/>
        <w:rPr>
          <w:rFonts w:ascii="Manrope Medium" w:hAnsi="Manrope Medium"/>
        </w:rPr>
      </w:pPr>
      <w:r>
        <w:rPr>
          <w:rFonts w:ascii="Manrope Medium" w:hAnsi="Manrope Medium"/>
        </w:rPr>
        <w:t xml:space="preserve">• </w:t>
      </w:r>
      <w:r>
        <w:rPr>
          <w:rFonts w:ascii="Manrope Medium" w:hAnsi="Manrope Medium"/>
        </w:rPr>
        <w:t xml:space="preserve">Collateral Deployment: Ethena USDe, Lido stETH, Rocketpool rETH, recursive strategies </w:t>
      </w:r>
    </w:p>
    <w:p>
      <w:pPr>
        <w:pStyle w:val="BodyText"/>
        <w:bidi w:val="0"/>
        <w:ind w:hanging="0" w:start="709"/>
        <w:jc w:val="both"/>
        <w:rPr>
          <w:rFonts w:ascii="Manrope Medium" w:hAnsi="Manrope Medium"/>
        </w:rPr>
      </w:pPr>
      <w:r>
        <w:rPr>
          <w:rFonts w:ascii="Manrope Medium" w:hAnsi="Manrope Medium"/>
        </w:rPr>
        <w:t xml:space="preserve">• </w:t>
      </w:r>
      <w:r>
        <w:rPr>
          <w:rFonts w:ascii="Manrope Medium" w:hAnsi="Manrope Medium"/>
        </w:rPr>
        <w:t xml:space="preserve">Yield Mechanism: Leveraged yield farming up to 3x through sophisticated DeFi composability </w:t>
      </w:r>
    </w:p>
    <w:p>
      <w:pPr>
        <w:pStyle w:val="BodyText"/>
        <w:bidi w:val="0"/>
        <w:ind w:hanging="0" w:start="709"/>
        <w:jc w:val="both"/>
        <w:rPr>
          <w:rFonts w:ascii="Manrope Medium" w:hAnsi="Manrope Medium"/>
        </w:rPr>
      </w:pPr>
      <w:r>
        <w:rPr>
          <w:rFonts w:ascii="Manrope Medium" w:hAnsi="Manrope Medium"/>
        </w:rPr>
        <w:t xml:space="preserve">• </w:t>
      </w:r>
      <w:r>
        <w:rPr>
          <w:rFonts w:ascii="Manrope Medium" w:hAnsi="Manrope Medium"/>
        </w:rPr>
        <w:t xml:space="preserve">Risk Factors: Higher smart contract risk, leverage risk, strategy complexity </w:t>
      </w:r>
    </w:p>
    <w:p>
      <w:pPr>
        <w:pStyle w:val="BodyText"/>
        <w:bidi w:val="0"/>
        <w:ind w:hanging="0" w:start="709"/>
        <w:jc w:val="both"/>
        <w:rPr>
          <w:rFonts w:ascii="Manrope Medium" w:hAnsi="Manrope Medium"/>
        </w:rPr>
      </w:pPr>
      <w:r>
        <w:rPr>
          <w:rFonts w:ascii="Manrope Medium" w:hAnsi="Manrope Medium"/>
        </w:rPr>
        <w:t xml:space="preserve">• </w:t>
      </w:r>
      <w:r>
        <w:rPr>
          <w:rFonts w:ascii="Manrope Medium" w:hAnsi="Manrope Medium"/>
        </w:rPr>
        <w:t xml:space="preserve">Target Users: Sophisticated DeFi participants seeking maximum yield optimization </w:t>
      </w:r>
    </w:p>
    <w:p>
      <w:pPr>
        <w:pStyle w:val="BodyText"/>
        <w:bidi w:val="0"/>
        <w:ind w:hanging="0" w:start="709"/>
        <w:jc w:val="both"/>
        <w:rPr>
          <w:rFonts w:ascii="Manrope Medium" w:hAnsi="Manrope Medium"/>
        </w:rPr>
      </w:pPr>
      <w:r>
        <w:rPr>
          <w:rFonts w:ascii="Manrope Medium" w:hAnsi="Manrope Medium"/>
        </w:rPr>
        <w:t xml:space="preserve">• </w:t>
      </w:r>
      <w:r>
        <w:rPr>
          <w:rFonts w:ascii="Manrope Medium" w:hAnsi="Manrope Medium"/>
        </w:rPr>
        <w:t xml:space="preserve">Advanced Features: Automated rebalancing, yield optimization bots, governance-adjustable parameters </w:t>
      </w:r>
    </w:p>
    <w:p>
      <w:pPr>
        <w:pStyle w:val="BodyText"/>
        <w:bidi w:val="0"/>
        <w:jc w:val="both"/>
        <w:rPr>
          <w:rFonts w:ascii="Manrope Medium" w:hAnsi="Manrope Medium"/>
          <w:b/>
          <w:bCs/>
        </w:rPr>
      </w:pPr>
      <w:r>
        <w:rPr>
          <w:rFonts w:ascii="Manrope Medium" w:hAnsi="Manrope Medium"/>
          <w:b/>
          <w:bCs/>
        </w:rPr>
        <w:t>Cross-Vault Mechanics</w:t>
      </w:r>
    </w:p>
    <w:p>
      <w:pPr>
        <w:pStyle w:val="BodyText"/>
        <w:bidi w:val="0"/>
        <w:jc w:val="both"/>
        <w:rPr>
          <w:rFonts w:ascii="Manrope Medium" w:hAnsi="Manrope Medium"/>
        </w:rPr>
      </w:pPr>
      <w:r>
        <w:rPr>
          <w:rFonts w:ascii="Manrope Medium" w:hAnsi="Manrope Medium"/>
        </w:rPr>
        <w:t>Unified Peg Maintenance: All vault variants maintain the same EUR target price through shared oracle infrastructure and arbitrage mechanisms.</w:t>
      </w:r>
    </w:p>
    <w:p>
      <w:pPr>
        <w:pStyle w:val="BodyText"/>
        <w:bidi w:val="0"/>
        <w:jc w:val="both"/>
        <w:rPr>
          <w:rFonts w:ascii="Manrope Medium" w:hAnsi="Manrope Medium"/>
        </w:rPr>
      </w:pPr>
      <w:r>
        <w:rPr>
          <w:rFonts w:ascii="Manrope Medium" w:hAnsi="Manrope Medium"/>
        </w:rPr>
        <w:t>Risk Isolation: Individual vault failures are contained and do not affect other variants through modular smart contract architecture.</w:t>
      </w:r>
    </w:p>
    <w:p>
      <w:pPr>
        <w:pStyle w:val="BodyText"/>
        <w:bidi w:val="0"/>
        <w:jc w:val="both"/>
        <w:rPr>
          <w:rFonts w:ascii="Manrope Medium" w:hAnsi="Manrope Medium"/>
        </w:rPr>
      </w:pPr>
      <w:r>
        <w:rPr>
          <w:rFonts w:ascii="Manrope Medium" w:hAnsi="Manrope Medium"/>
        </w:rPr>
        <w:t>Arbitrage Opportunities: Price differences between variants create natural trading incentives that support overall ecosystem liquidity.</w:t>
      </w:r>
    </w:p>
    <w:p>
      <w:pPr>
        <w:pStyle w:val="BodyText"/>
        <w:bidi w:val="0"/>
        <w:jc w:val="both"/>
        <w:rPr>
          <w:rFonts w:ascii="Manrope Medium" w:hAnsi="Manrope Medium"/>
        </w:rPr>
      </w:pPr>
      <w:r>
        <w:rPr>
          <w:rFonts w:ascii="Manrope Medium" w:hAnsi="Manrope Medium"/>
        </w:rPr>
        <w:t>Governance Coordination: QTI holders vote on vault-specific parameters while maintaining ecosystem-wide coherence.</w:t>
      </w:r>
    </w:p>
    <w:p>
      <w:pPr>
        <w:pStyle w:val="BodyText"/>
        <w:bidi w:val="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19" w:name="__RefHeading___Toc449_1632554855_Copie_1"/>
      <w:bookmarkEnd w:id="19"/>
      <w:r>
        <w:rPr>
          <w:rFonts w:ascii="Manrope Medium" w:hAnsi="Manrope Medium"/>
        </w:rPr>
        <w:t>4.</w:t>
      </w:r>
      <w:r>
        <w:rPr>
          <w:rFonts w:ascii="Manrope Medium" w:hAnsi="Manrope Medium"/>
        </w:rPr>
        <w:t>6</w:t>
      </w:r>
      <w:r>
        <w:rPr>
          <w:rFonts w:ascii="Manrope Medium" w:hAnsi="Manrope Medium"/>
        </w:rPr>
        <w:t xml:space="preserve"> </w:t>
      </w:r>
      <w:r>
        <w:rPr>
          <w:rFonts w:ascii="Manrope Medium" w:hAnsi="Manrope Medium"/>
        </w:rPr>
        <w:t>stQEURO : Yield-Bearing Euro Infrastructure</w:t>
      </w:r>
    </w:p>
    <w:p>
      <w:pPr>
        <w:pStyle w:val="BodyText"/>
        <w:bidi w:val="0"/>
        <w:jc w:val="both"/>
        <w:rPr>
          <w:rFonts w:ascii="Manrope Medium" w:hAnsi="Manrope Medium"/>
        </w:rPr>
      </w:pPr>
      <w:r>
        <w:rPr>
          <w:rFonts w:ascii="Manrope Medium" w:hAnsi="Manrope Medium"/>
        </w:rPr>
        <w:t>Beyond serving as a euro-pegged stablecoin, Quantillon introduces stQEURO—a yield-bearing wrapper that automatically compounds returns from QEURO collateral deployment while maintaining full liquidity and composability. This innovation bridges the gap between passive euro exposure and active DeFi yield generation.</w:t>
      </w:r>
    </w:p>
    <w:p>
      <w:pPr>
        <w:pStyle w:val="BodyText"/>
        <w:bidi w:val="0"/>
        <w:jc w:val="both"/>
        <w:rPr>
          <w:rFonts w:ascii="Manrope Medium" w:hAnsi="Manrope Medium"/>
          <w:b/>
          <w:bCs/>
        </w:rPr>
      </w:pPr>
      <w:r>
        <w:rPr>
          <w:rFonts w:ascii="Manrope Medium" w:hAnsi="Manrope Medium"/>
          <w:b/>
          <w:bCs/>
        </w:rPr>
        <w:t>Auto-Compounding Mechanism</w:t>
      </w:r>
    </w:p>
    <w:p>
      <w:pPr>
        <w:pStyle w:val="BodyText"/>
        <w:bidi w:val="0"/>
        <w:jc w:val="both"/>
        <w:rPr>
          <w:rFonts w:ascii="Manrope Medium" w:hAnsi="Manrope Medium"/>
        </w:rPr>
      </w:pPr>
      <w:r>
        <w:rPr>
          <w:rFonts w:ascii="Manrope Medium" w:hAnsi="Manrope Medium"/>
        </w:rPr>
        <w:t>Unlike traditional staking systems requiring manual reward claims, stQEURO automatically increases in intrinsic value over time. The quantity of stQEURO tokens in user wallets remains constant, but each token becomes worth more QEURO as yields accumulate:</w:t>
      </w:r>
    </w:p>
    <w:p>
      <w:pPr>
        <w:pStyle w:val="BodyText"/>
        <w:bidi w:val="0"/>
        <w:jc w:val="both"/>
        <w:rPr>
          <w:rFonts w:ascii="Manrope Medium" w:hAnsi="Manrope Medium"/>
        </w:rPr>
      </w:pPr>
      <w:r>
        <w:rPr/>
      </w:r>
    </w:p>
    <w:p>
      <w:pPr>
        <w:pStyle w:val="BodyText"/>
        <w:bidi w:val="0"/>
        <w:jc w:val="both"/>
        <w:rPr>
          <w:rFonts w:ascii="Manrope Medium" w:hAnsi="Manrope Medium"/>
          <w:b/>
          <w:bCs/>
        </w:rPr>
      </w:pPr>
      <w:r>
        <w:rPr>
          <w:rFonts w:ascii="Manrope Medium" w:hAnsi="Manrope Medium"/>
          <w:b/>
          <w:bCs/>
        </w:rPr>
        <w:t>Value Appreciation Formula:</w:t>
      </w:r>
    </w:p>
    <w:p>
      <w:pPr>
        <w:pStyle w:val="BodyText"/>
        <w:bidi w:val="0"/>
        <w:jc w:val="both"/>
        <w:rPr>
          <w:rFonts w:ascii="Manrope Medium" w:hAnsi="Manrope Medium"/>
        </w:rPr>
      </w:pPr>
      <w:r>
        <w:rPr>
          <w:rFonts w:ascii="Manrope Medium" w:hAnsi="Manrope Medium"/>
        </w:rPr>
        <w:t xml:space="preserve">stQEURO Exchange Rate = 1 + (Cumulative Yield ÷ Total Days × Days Held) </w:t>
      </w:r>
    </w:p>
    <w:p>
      <w:pPr>
        <w:pStyle w:val="BodyText"/>
        <w:bidi w:val="0"/>
        <w:jc w:val="both"/>
        <w:rPr>
          <w:rFonts w:ascii="Manrope Medium" w:hAnsi="Manrope Medium"/>
        </w:rPr>
      </w:pPr>
      <w:r>
        <w:rPr>
          <w:rFonts w:ascii="Manrope Medium" w:hAnsi="Manrope Medium"/>
        </w:rPr>
        <w:t xml:space="preserve">Example Timeline: </w:t>
      </w:r>
    </w:p>
    <w:p>
      <w:pPr>
        <w:pStyle w:val="BodyText"/>
        <w:bidi w:val="0"/>
        <w:jc w:val="both"/>
        <w:rPr>
          <w:rFonts w:ascii="Manrope Medium" w:hAnsi="Manrope Medium"/>
        </w:rPr>
      </w:pPr>
      <w:r>
        <w:rPr>
          <w:rFonts w:ascii="Manrope Medium" w:hAnsi="Manrope Medium"/>
        </w:rPr>
        <w:tab/>
        <w:t xml:space="preserve">Day 0: Stake 1,000 QEURO → Receive 1,000 stQEURO (Rate: 1.000) </w:t>
      </w:r>
    </w:p>
    <w:p>
      <w:pPr>
        <w:pStyle w:val="BodyText"/>
        <w:bidi w:val="0"/>
        <w:jc w:val="both"/>
        <w:rPr>
          <w:rFonts w:ascii="Manrope Medium" w:hAnsi="Manrope Medium"/>
        </w:rPr>
      </w:pPr>
      <w:r>
        <w:rPr>
          <w:rFonts w:ascii="Manrope Medium" w:hAnsi="Manrope Medium"/>
        </w:rPr>
        <w:tab/>
        <w:t xml:space="preserve">Day 365: Still hold 1,000 stQEURO (Rate: 1.053 with 5.3% APY) </w:t>
      </w:r>
    </w:p>
    <w:p>
      <w:pPr>
        <w:pStyle w:val="BodyText"/>
        <w:bidi w:val="0"/>
        <w:jc w:val="both"/>
        <w:rPr>
          <w:rFonts w:ascii="Manrope Medium" w:hAnsi="Manrope Medium"/>
        </w:rPr>
      </w:pPr>
      <w:r>
        <w:rPr>
          <w:rFonts w:ascii="Manrope Medium" w:hAnsi="Manrope Medium"/>
        </w:rPr>
        <w:tab/>
        <w:t>Unstaking: 1,000 stQEURO → 1,053 QEURO</w:t>
      </w:r>
    </w:p>
    <w:p>
      <w:pPr>
        <w:pStyle w:val="BodyText"/>
        <w:bidi w:val="0"/>
        <w:jc w:val="both"/>
        <w:rPr>
          <w:rFonts w:ascii="Manrope Medium" w:hAnsi="Manrope Medium"/>
        </w:rPr>
      </w:pPr>
      <w:r>
        <w:rPr/>
      </w:r>
    </w:p>
    <w:p>
      <w:pPr>
        <w:pStyle w:val="BodyText"/>
        <w:bidi w:val="0"/>
        <w:jc w:val="both"/>
        <w:rPr>
          <w:rFonts w:ascii="Manrope Medium" w:hAnsi="Manrope Medium"/>
          <w:b/>
          <w:bCs/>
        </w:rPr>
      </w:pPr>
      <w:r>
        <w:rPr>
          <w:rFonts w:ascii="Manrope Medium" w:hAnsi="Manrope Medium"/>
          <w:b/>
          <w:bCs/>
        </w:rPr>
        <w:t>Yield Source &amp; Distribution</w:t>
      </w:r>
    </w:p>
    <w:p>
      <w:pPr>
        <w:pStyle w:val="BodyText"/>
        <w:bidi w:val="0"/>
        <w:jc w:val="both"/>
        <w:rPr/>
      </w:pPr>
      <w:r>
        <w:rPr>
          <w:rFonts w:ascii="Manrope Medium" w:hAnsi="Manrope Medium"/>
        </w:rPr>
        <w:t>stQEURO's yield originates from the underlying QEURO collateral deployed across battle-tested DeFi protocols:</w:t>
      </w:r>
    </w:p>
    <w:p>
      <w:pPr>
        <w:pStyle w:val="BodyText"/>
        <w:bidi w:val="0"/>
        <w:jc w:val="both"/>
        <w:rPr>
          <w:rFonts w:ascii="Manrope Medium" w:hAnsi="Manrope Medium"/>
        </w:rPr>
      </w:pPr>
      <w:r>
        <w:rPr>
          <w:rFonts w:ascii="Manrope Medium" w:hAnsi="Manrope Medium"/>
        </w:rPr>
        <w:tab/>
        <w:t>Yield Distribution: Protocol Fees: 10% (Treasury + Development)</w:t>
      </w:r>
    </w:p>
    <w:p>
      <w:pPr>
        <w:pStyle w:val="BodyText"/>
        <w:bidi w:val="0"/>
        <w:jc w:val="both"/>
        <w:rPr>
          <w:rFonts w:ascii="Manrope Medium" w:hAnsi="Manrope Medium"/>
        </w:rPr>
      </w:pPr>
      <w:r>
        <w:rPr>
          <w:rFonts w:ascii="Manrope Medium" w:hAnsi="Manrope Medium"/>
        </w:rPr>
        <w:tab/>
        <w:t>Hedger Compensation: Variable 1-3% (EUR/USD spread + Yield Shift)</w:t>
      </w:r>
    </w:p>
    <w:p>
      <w:pPr>
        <w:pStyle w:val="BodyText"/>
        <w:bidi w:val="0"/>
        <w:jc w:val="both"/>
        <w:rPr>
          <w:rFonts w:ascii="Manrope Medium" w:hAnsi="Manrope Medium"/>
        </w:rPr>
      </w:pPr>
      <w:r>
        <w:rPr>
          <w:rFonts w:ascii="Manrope Medium" w:hAnsi="Manrope Medium"/>
        </w:rPr>
        <w:tab/>
        <w:t>stQEURO Holders: Remaining 87-89% (Auto-compounded)</w:t>
      </w:r>
    </w:p>
    <w:p>
      <w:pPr>
        <w:pStyle w:val="BodyText"/>
        <w:bidi w:val="0"/>
        <w:jc w:val="both"/>
        <w:rPr>
          <w:rFonts w:ascii="Manrope Medium" w:hAnsi="Manrope Medium"/>
          <w:b/>
          <w:bCs/>
        </w:rPr>
      </w:pPr>
      <w:r>
        <w:rPr>
          <w:rFonts w:ascii="Manrope Medium" w:hAnsi="Manrope Medium"/>
          <w:b/>
          <w:bCs/>
        </w:rPr>
        <w:t>Technical Advantages</w:t>
      </w:r>
    </w:p>
    <w:p>
      <w:pPr>
        <w:pStyle w:val="BodyText"/>
        <w:bidi w:val="0"/>
        <w:jc w:val="both"/>
        <w:rPr>
          <w:rFonts w:ascii="Manrope Medium" w:hAnsi="Manrope Medium"/>
        </w:rPr>
      </w:pPr>
      <w:r>
        <w:rPr>
          <w:rFonts w:ascii="Manrope Medium" w:hAnsi="Manrope Medium"/>
        </w:rPr>
        <w:t>Instant Liquidity: stQEURO maintains full liquidity without lock periods, enabling immediate unstaking at current exchange rates.</w:t>
      </w:r>
    </w:p>
    <w:p>
      <w:pPr>
        <w:pStyle w:val="BodyText"/>
        <w:bidi w:val="0"/>
        <w:jc w:val="both"/>
        <w:rPr>
          <w:rFonts w:ascii="Manrope Medium" w:hAnsi="Manrope Medium"/>
        </w:rPr>
      </w:pPr>
      <w:r>
        <w:rPr>
          <w:rFonts w:ascii="Manrope Medium" w:hAnsi="Manrope Medium"/>
        </w:rPr>
        <w:t>DeFi Composability: Users can deploy stQEURO in other protocols (lending, LP positions, collateral) while continuing to earn compounding yield.</w:t>
      </w:r>
    </w:p>
    <w:p>
      <w:pPr>
        <w:pStyle w:val="BodyText"/>
        <w:bidi w:val="0"/>
        <w:jc w:val="both"/>
        <w:rPr>
          <w:rFonts w:ascii="Manrope Medium" w:hAnsi="Manrope Medium"/>
        </w:rPr>
      </w:pPr>
      <w:r>
        <w:rPr>
          <w:rFonts w:ascii="Manrope Medium" w:hAnsi="Manrope Medium"/>
        </w:rPr>
        <w:t>Tax Efficiency: No rebase events or reward distributions that could trigger taxable income in many jurisdictions.</w:t>
      </w:r>
    </w:p>
    <w:p>
      <w:pPr>
        <w:pStyle w:val="BodyText"/>
        <w:bidi w:val="0"/>
        <w:jc w:val="both"/>
        <w:rPr>
          <w:rFonts w:ascii="Manrope Medium" w:hAnsi="Manrope Medium"/>
        </w:rPr>
      </w:pPr>
      <w:r>
        <w:rPr>
          <w:rFonts w:ascii="Manrope Medium" w:hAnsi="Manrope Medium"/>
        </w:rPr>
        <w:t>MEV Protection: Built-in front-running resistance for staking operations through oracle-based pricing and transaction batching.</w:t>
      </w:r>
    </w:p>
    <w:p>
      <w:pPr>
        <w:pStyle w:val="Normal"/>
        <w:bidi w:val="0"/>
        <w:jc w:val="both"/>
        <w:rPr>
          <w:rFonts w:ascii="Manrope Medium" w:hAnsi="Manrope Medium"/>
        </w:rPr>
      </w:pPr>
      <w:r>
        <w:rPr>
          <w:rFonts w:ascii="Manrope Medium" w:hAnsi="Manrope Medium"/>
        </w:rPr>
      </w:r>
      <w:r>
        <w:br w:type="page"/>
      </w:r>
    </w:p>
    <w:p>
      <w:pPr>
        <w:pStyle w:val="Heading2"/>
        <w:bidi w:val="0"/>
        <w:spacing w:before="0" w:after="120"/>
        <w:jc w:val="both"/>
        <w:rPr>
          <w:rFonts w:ascii="Manrope Medium" w:hAnsi="Manrope Medium"/>
        </w:rPr>
      </w:pPr>
      <w:bookmarkStart w:id="20" w:name="__RefHeading___Toc451_1632554855"/>
      <w:bookmarkEnd w:id="20"/>
      <w:r>
        <w:rPr>
          <w:rFonts w:ascii="Manrope Medium" w:hAnsi="Manrope Medium"/>
        </w:rPr>
        <w:t>5. Tokenomics &amp; Governance</w:t>
      </w:r>
    </w:p>
    <w:p>
      <w:pPr>
        <w:pStyle w:val="BodyText"/>
        <w:bidi w:val="0"/>
        <w:spacing w:before="0" w:after="12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21" w:name="__RefHeading___Toc453_1632554855"/>
      <w:bookmarkEnd w:id="21"/>
      <w:r>
        <w:rPr>
          <w:rFonts w:ascii="Manrope Medium" w:hAnsi="Manrope Medium"/>
        </w:rPr>
        <w:t>5.1 The $QTI Token: Governance, Distribution, and Incentives</w:t>
      </w:r>
    </w:p>
    <w:p>
      <w:pPr>
        <w:pStyle w:val="BodyText"/>
        <w:jc w:val="both"/>
        <w:rPr/>
      </w:pPr>
      <w:r>
        <w:rPr/>
        <w:t>Quantillon operates through a sophisticated three-token system designed to create sustainable value flows and optimal capital efficiency across the euro-DeFi ecosystem.</w:t>
      </w:r>
    </w:p>
    <w:p>
      <w:pPr>
        <w:pStyle w:val="BodyText"/>
        <w:jc w:val="both"/>
        <w:rPr>
          <w:b/>
          <w:bCs/>
        </w:rPr>
      </w:pPr>
      <w:bookmarkStart w:id="22" w:name="__RefHeading___Toc3153_59253517"/>
      <w:bookmarkStart w:id="23" w:name="thedqtitokengovernancevalueaccrual"/>
      <w:bookmarkEnd w:id="22"/>
      <w:bookmarkEnd w:id="23"/>
      <w:r>
        <w:rPr>
          <w:b/>
          <w:bCs/>
        </w:rPr>
        <w:t>The $QTI Token: Governance &amp; Value Accrual</w:t>
      </w:r>
    </w:p>
    <w:p>
      <w:pPr>
        <w:pStyle w:val="BodyText"/>
        <w:jc w:val="both"/>
        <w:rPr/>
      </w:pPr>
      <w:r>
        <w:rPr/>
        <w:t>The $QTI token serves as the governance backbone of the Quantillon Protocol, featuring advanced vote-escrow (veQTI) mechanics and progressive decentralization. With a fixed total supply of 100,000,000 QTI tokens, the distribution is strategically structured as follows:</w:t>
      </w:r>
    </w:p>
    <w:p>
      <w:pPr>
        <w:pStyle w:val="BodyText"/>
        <w:jc w:val="both"/>
        <w:rPr/>
      </w:pPr>
      <w:r>
        <w:rPr>
          <w:rStyle w:val="Strong"/>
        </w:rPr>
        <w:t>Strategic Token Allocation:</w:t>
      </w:r>
    </w:p>
    <w:tbl>
      <w:tblPr>
        <w:tblW w:w="10205" w:type="dxa"/>
        <w:jc w:val="start"/>
        <w:tblInd w:w="0" w:type="dxa"/>
        <w:tblLayout w:type="fixed"/>
        <w:tblCellMar>
          <w:top w:w="28" w:type="dxa"/>
          <w:start w:w="28" w:type="dxa"/>
          <w:bottom w:w="28" w:type="dxa"/>
          <w:end w:w="28" w:type="dxa"/>
        </w:tblCellMar>
      </w:tblPr>
      <w:tblGrid>
        <w:gridCol w:w="2691"/>
        <w:gridCol w:w="1261"/>
        <w:gridCol w:w="1655"/>
        <w:gridCol w:w="1402"/>
        <w:gridCol w:w="3196"/>
      </w:tblGrid>
      <w:tr>
        <w:trPr>
          <w:tblHeader w:val="true"/>
        </w:trPr>
        <w:tc>
          <w:tcPr>
            <w:tcW w:w="2691" w:type="dxa"/>
            <w:tcBorders/>
            <w:vAlign w:val="center"/>
          </w:tcPr>
          <w:p>
            <w:pPr>
              <w:pStyle w:val="Titredetableau"/>
              <w:rPr/>
            </w:pPr>
            <w:r>
              <w:rPr/>
              <w:t>Category</w:t>
            </w:r>
          </w:p>
        </w:tc>
        <w:tc>
          <w:tcPr>
            <w:tcW w:w="1261" w:type="dxa"/>
            <w:tcBorders/>
            <w:vAlign w:val="center"/>
          </w:tcPr>
          <w:p>
            <w:pPr>
              <w:pStyle w:val="Titredetableau"/>
              <w:rPr/>
            </w:pPr>
            <w:r>
              <w:rPr/>
              <w:t>Allocation</w:t>
            </w:r>
          </w:p>
        </w:tc>
        <w:tc>
          <w:tcPr>
            <w:tcW w:w="1655" w:type="dxa"/>
            <w:tcBorders/>
            <w:vAlign w:val="center"/>
          </w:tcPr>
          <w:p>
            <w:pPr>
              <w:pStyle w:val="Titredetableau"/>
              <w:rPr/>
            </w:pPr>
            <w:r>
              <w:rPr/>
              <w:t>Amount</w:t>
            </w:r>
          </w:p>
        </w:tc>
        <w:tc>
          <w:tcPr>
            <w:tcW w:w="1402" w:type="dxa"/>
            <w:tcBorders/>
            <w:vAlign w:val="center"/>
          </w:tcPr>
          <w:p>
            <w:pPr>
              <w:pStyle w:val="Titredetableau"/>
              <w:rPr/>
            </w:pPr>
            <w:r>
              <w:rPr/>
              <w:t>Lock Period</w:t>
            </w:r>
          </w:p>
        </w:tc>
        <w:tc>
          <w:tcPr>
            <w:tcW w:w="3196" w:type="dxa"/>
            <w:tcBorders/>
            <w:vAlign w:val="center"/>
          </w:tcPr>
          <w:p>
            <w:pPr>
              <w:pStyle w:val="Titredetableau"/>
              <w:rPr/>
            </w:pPr>
            <w:r>
              <w:rPr/>
              <w:t>Vesting Schedule</w:t>
            </w:r>
          </w:p>
        </w:tc>
      </w:tr>
      <w:tr>
        <w:trPr/>
        <w:tc>
          <w:tcPr>
            <w:tcW w:w="2691" w:type="dxa"/>
            <w:tcBorders/>
            <w:vAlign w:val="center"/>
          </w:tcPr>
          <w:p>
            <w:pPr>
              <w:pStyle w:val="Contenudetableau"/>
              <w:rPr/>
            </w:pPr>
            <w:r>
              <w:rPr>
                <w:rStyle w:val="Strong"/>
              </w:rPr>
              <w:t>Community &amp; Ecosystem</w:t>
            </w:r>
          </w:p>
        </w:tc>
        <w:tc>
          <w:tcPr>
            <w:tcW w:w="1261" w:type="dxa"/>
            <w:tcBorders/>
            <w:vAlign w:val="center"/>
          </w:tcPr>
          <w:p>
            <w:pPr>
              <w:pStyle w:val="Contenudetableau"/>
              <w:rPr/>
            </w:pPr>
            <w:r>
              <w:rPr/>
              <w:t>50%</w:t>
            </w:r>
          </w:p>
        </w:tc>
        <w:tc>
          <w:tcPr>
            <w:tcW w:w="1655" w:type="dxa"/>
            <w:tcBorders/>
            <w:vAlign w:val="center"/>
          </w:tcPr>
          <w:p>
            <w:pPr>
              <w:pStyle w:val="Contenudetableau"/>
              <w:rPr/>
            </w:pPr>
            <w:r>
              <w:rPr/>
              <w:t>50,000,000 QTI</w:t>
            </w:r>
          </w:p>
        </w:tc>
        <w:tc>
          <w:tcPr>
            <w:tcW w:w="1402" w:type="dxa"/>
            <w:tcBorders/>
            <w:vAlign w:val="center"/>
          </w:tcPr>
          <w:p>
            <w:pPr>
              <w:pStyle w:val="Contenudetableau"/>
              <w:rPr/>
            </w:pPr>
            <w:r>
              <w:rPr/>
              <w:t>Variable</w:t>
            </w:r>
          </w:p>
        </w:tc>
        <w:tc>
          <w:tcPr>
            <w:tcW w:w="3196" w:type="dxa"/>
            <w:tcBorders/>
            <w:vAlign w:val="center"/>
          </w:tcPr>
          <w:p>
            <w:pPr>
              <w:pStyle w:val="Contenudetableau"/>
              <w:rPr/>
            </w:pPr>
            <w:r>
              <w:rPr/>
              <w:t>48-month algorithmic curve</w:t>
            </w:r>
          </w:p>
        </w:tc>
      </w:tr>
      <w:tr>
        <w:trPr/>
        <w:tc>
          <w:tcPr>
            <w:tcW w:w="2691" w:type="dxa"/>
            <w:tcBorders/>
            <w:vAlign w:val="center"/>
          </w:tcPr>
          <w:p>
            <w:pPr>
              <w:pStyle w:val="Contenudetableau"/>
              <w:rPr/>
            </w:pPr>
            <w:r>
              <w:rPr>
                <w:rStyle w:val="Strong"/>
              </w:rPr>
              <w:t>Team &amp; Founders</w:t>
            </w:r>
          </w:p>
        </w:tc>
        <w:tc>
          <w:tcPr>
            <w:tcW w:w="1261" w:type="dxa"/>
            <w:tcBorders/>
            <w:vAlign w:val="center"/>
          </w:tcPr>
          <w:p>
            <w:pPr>
              <w:pStyle w:val="Contenudetableau"/>
              <w:rPr/>
            </w:pPr>
            <w:r>
              <w:rPr/>
              <w:t>15%</w:t>
            </w:r>
          </w:p>
        </w:tc>
        <w:tc>
          <w:tcPr>
            <w:tcW w:w="1655" w:type="dxa"/>
            <w:tcBorders/>
            <w:vAlign w:val="center"/>
          </w:tcPr>
          <w:p>
            <w:pPr>
              <w:pStyle w:val="Contenudetableau"/>
              <w:rPr/>
            </w:pPr>
            <w:r>
              <w:rPr/>
              <w:t>15,000,000 QTI</w:t>
            </w:r>
          </w:p>
        </w:tc>
        <w:tc>
          <w:tcPr>
            <w:tcW w:w="1402" w:type="dxa"/>
            <w:tcBorders/>
            <w:vAlign w:val="center"/>
          </w:tcPr>
          <w:p>
            <w:pPr>
              <w:pStyle w:val="Contenudetableau"/>
              <w:rPr/>
            </w:pPr>
            <w:r>
              <w:rPr/>
              <w:t>12 months</w:t>
            </w:r>
          </w:p>
        </w:tc>
        <w:tc>
          <w:tcPr>
            <w:tcW w:w="3196" w:type="dxa"/>
            <w:tcBorders/>
            <w:vAlign w:val="center"/>
          </w:tcPr>
          <w:p>
            <w:pPr>
              <w:pStyle w:val="Contenudetableau"/>
              <w:rPr/>
            </w:pPr>
            <w:r>
              <w:rPr/>
              <w:t>36 months linear</w:t>
            </w:r>
          </w:p>
        </w:tc>
      </w:tr>
      <w:tr>
        <w:trPr/>
        <w:tc>
          <w:tcPr>
            <w:tcW w:w="2691" w:type="dxa"/>
            <w:tcBorders/>
            <w:vAlign w:val="center"/>
          </w:tcPr>
          <w:p>
            <w:pPr>
              <w:pStyle w:val="Contenudetableau"/>
              <w:rPr/>
            </w:pPr>
            <w:r>
              <w:rPr>
                <w:rStyle w:val="Strong"/>
              </w:rPr>
              <w:t>Investors (SAFT/BSA)</w:t>
            </w:r>
          </w:p>
        </w:tc>
        <w:tc>
          <w:tcPr>
            <w:tcW w:w="1261" w:type="dxa"/>
            <w:tcBorders/>
            <w:vAlign w:val="center"/>
          </w:tcPr>
          <w:p>
            <w:pPr>
              <w:pStyle w:val="Contenudetableau"/>
              <w:rPr/>
            </w:pPr>
            <w:r>
              <w:rPr/>
              <w:t>13%</w:t>
            </w:r>
          </w:p>
        </w:tc>
        <w:tc>
          <w:tcPr>
            <w:tcW w:w="1655" w:type="dxa"/>
            <w:tcBorders/>
            <w:vAlign w:val="center"/>
          </w:tcPr>
          <w:p>
            <w:pPr>
              <w:pStyle w:val="Contenudetableau"/>
              <w:rPr/>
            </w:pPr>
            <w:r>
              <w:rPr/>
              <w:t>13,000,000 QTI</w:t>
            </w:r>
          </w:p>
        </w:tc>
        <w:tc>
          <w:tcPr>
            <w:tcW w:w="1402" w:type="dxa"/>
            <w:tcBorders/>
            <w:vAlign w:val="center"/>
          </w:tcPr>
          <w:p>
            <w:pPr>
              <w:pStyle w:val="Contenudetableau"/>
              <w:rPr/>
            </w:pPr>
            <w:r>
              <w:rPr/>
              <w:t>6-18 months</w:t>
            </w:r>
          </w:p>
        </w:tc>
        <w:tc>
          <w:tcPr>
            <w:tcW w:w="3196" w:type="dxa"/>
            <w:tcBorders/>
            <w:vAlign w:val="center"/>
          </w:tcPr>
          <w:p>
            <w:pPr>
              <w:pStyle w:val="Contenudetableau"/>
              <w:rPr/>
            </w:pPr>
            <w:r>
              <w:rPr/>
              <w:t>24-36 months tiered</w:t>
            </w:r>
          </w:p>
        </w:tc>
      </w:tr>
      <w:tr>
        <w:trPr/>
        <w:tc>
          <w:tcPr>
            <w:tcW w:w="2691" w:type="dxa"/>
            <w:tcBorders/>
            <w:vAlign w:val="center"/>
          </w:tcPr>
          <w:p>
            <w:pPr>
              <w:pStyle w:val="Contenudetableau"/>
              <w:rPr/>
            </w:pPr>
            <w:r>
              <w:rPr>
                <w:rStyle w:val="Strong"/>
              </w:rPr>
              <w:t>DAO Treasury</w:t>
            </w:r>
          </w:p>
        </w:tc>
        <w:tc>
          <w:tcPr>
            <w:tcW w:w="1261" w:type="dxa"/>
            <w:tcBorders/>
            <w:vAlign w:val="center"/>
          </w:tcPr>
          <w:p>
            <w:pPr>
              <w:pStyle w:val="Contenudetableau"/>
              <w:rPr/>
            </w:pPr>
            <w:r>
              <w:rPr/>
              <w:t>10%</w:t>
            </w:r>
          </w:p>
        </w:tc>
        <w:tc>
          <w:tcPr>
            <w:tcW w:w="1655" w:type="dxa"/>
            <w:tcBorders/>
            <w:vAlign w:val="center"/>
          </w:tcPr>
          <w:p>
            <w:pPr>
              <w:pStyle w:val="Contenudetableau"/>
              <w:rPr/>
            </w:pPr>
            <w:r>
              <w:rPr/>
              <w:t>10,000,000 QTI</w:t>
            </w:r>
          </w:p>
        </w:tc>
        <w:tc>
          <w:tcPr>
            <w:tcW w:w="1402" w:type="dxa"/>
            <w:tcBorders/>
            <w:vAlign w:val="center"/>
          </w:tcPr>
          <w:p>
            <w:pPr>
              <w:pStyle w:val="Contenudetableau"/>
              <w:rPr/>
            </w:pPr>
            <w:r>
              <w:rPr/>
              <w:t>Immediate</w:t>
            </w:r>
          </w:p>
        </w:tc>
        <w:tc>
          <w:tcPr>
            <w:tcW w:w="3196" w:type="dxa"/>
            <w:tcBorders/>
            <w:vAlign w:val="center"/>
          </w:tcPr>
          <w:p>
            <w:pPr>
              <w:pStyle w:val="Contenudetableau"/>
              <w:rPr/>
            </w:pPr>
            <w:r>
              <w:rPr/>
              <w:t>Governance-controlled</w:t>
            </w:r>
          </w:p>
        </w:tc>
      </w:tr>
      <w:tr>
        <w:trPr/>
        <w:tc>
          <w:tcPr>
            <w:tcW w:w="2691" w:type="dxa"/>
            <w:tcBorders/>
            <w:vAlign w:val="center"/>
          </w:tcPr>
          <w:p>
            <w:pPr>
              <w:pStyle w:val="Contenudetableau"/>
              <w:rPr/>
            </w:pPr>
            <w:r>
              <w:rPr>
                <w:rStyle w:val="Strong"/>
              </w:rPr>
              <w:t>Strategic Partners</w:t>
            </w:r>
          </w:p>
        </w:tc>
        <w:tc>
          <w:tcPr>
            <w:tcW w:w="1261" w:type="dxa"/>
            <w:tcBorders/>
            <w:vAlign w:val="center"/>
          </w:tcPr>
          <w:p>
            <w:pPr>
              <w:pStyle w:val="Contenudetableau"/>
              <w:rPr/>
            </w:pPr>
            <w:r>
              <w:rPr/>
              <w:t>5%</w:t>
            </w:r>
          </w:p>
        </w:tc>
        <w:tc>
          <w:tcPr>
            <w:tcW w:w="1655" w:type="dxa"/>
            <w:tcBorders/>
            <w:vAlign w:val="center"/>
          </w:tcPr>
          <w:p>
            <w:pPr>
              <w:pStyle w:val="Contenudetableau"/>
              <w:rPr/>
            </w:pPr>
            <w:r>
              <w:rPr/>
              <w:t>5,000,000 QTI</w:t>
            </w:r>
          </w:p>
        </w:tc>
        <w:tc>
          <w:tcPr>
            <w:tcW w:w="1402" w:type="dxa"/>
            <w:tcBorders/>
            <w:vAlign w:val="center"/>
          </w:tcPr>
          <w:p>
            <w:pPr>
              <w:pStyle w:val="Contenudetableau"/>
              <w:rPr/>
            </w:pPr>
            <w:r>
              <w:rPr/>
              <w:t>6 months</w:t>
            </w:r>
          </w:p>
        </w:tc>
        <w:tc>
          <w:tcPr>
            <w:tcW w:w="3196" w:type="dxa"/>
            <w:tcBorders/>
            <w:vAlign w:val="center"/>
          </w:tcPr>
          <w:p>
            <w:pPr>
              <w:pStyle w:val="Contenudetableau"/>
              <w:rPr/>
            </w:pPr>
            <w:r>
              <w:rPr/>
              <w:t>18 months performance-based</w:t>
            </w:r>
          </w:p>
        </w:tc>
      </w:tr>
      <w:tr>
        <w:trPr/>
        <w:tc>
          <w:tcPr>
            <w:tcW w:w="2691" w:type="dxa"/>
            <w:tcBorders/>
            <w:vAlign w:val="center"/>
          </w:tcPr>
          <w:p>
            <w:pPr>
              <w:pStyle w:val="Contenudetableau"/>
              <w:rPr/>
            </w:pPr>
            <w:r>
              <w:rPr>
                <w:rStyle w:val="Strong"/>
              </w:rPr>
              <w:t>Advisors</w:t>
            </w:r>
          </w:p>
        </w:tc>
        <w:tc>
          <w:tcPr>
            <w:tcW w:w="1261" w:type="dxa"/>
            <w:tcBorders/>
            <w:vAlign w:val="center"/>
          </w:tcPr>
          <w:p>
            <w:pPr>
              <w:pStyle w:val="Contenudetableau"/>
              <w:rPr/>
            </w:pPr>
            <w:r>
              <w:rPr/>
              <w:t>2%</w:t>
            </w:r>
          </w:p>
        </w:tc>
        <w:tc>
          <w:tcPr>
            <w:tcW w:w="1655" w:type="dxa"/>
            <w:tcBorders/>
            <w:vAlign w:val="center"/>
          </w:tcPr>
          <w:p>
            <w:pPr>
              <w:pStyle w:val="Contenudetableau"/>
              <w:rPr/>
            </w:pPr>
            <w:r>
              <w:rPr/>
              <w:t>2,000,000 QTI</w:t>
            </w:r>
          </w:p>
        </w:tc>
        <w:tc>
          <w:tcPr>
            <w:tcW w:w="1402" w:type="dxa"/>
            <w:tcBorders/>
            <w:vAlign w:val="center"/>
          </w:tcPr>
          <w:p>
            <w:pPr>
              <w:pStyle w:val="Contenudetableau"/>
              <w:rPr/>
            </w:pPr>
            <w:r>
              <w:rPr/>
              <w:t>6 months</w:t>
            </w:r>
          </w:p>
        </w:tc>
        <w:tc>
          <w:tcPr>
            <w:tcW w:w="3196" w:type="dxa"/>
            <w:tcBorders/>
            <w:vAlign w:val="center"/>
          </w:tcPr>
          <w:p>
            <w:pPr>
              <w:pStyle w:val="Contenudetableau"/>
              <w:rPr/>
            </w:pPr>
            <w:r>
              <w:rPr/>
              <w:t>18 months milestone-driven</w:t>
            </w:r>
          </w:p>
        </w:tc>
      </w:tr>
      <w:tr>
        <w:trPr/>
        <w:tc>
          <w:tcPr>
            <w:tcW w:w="2691" w:type="dxa"/>
            <w:tcBorders/>
            <w:vAlign w:val="center"/>
          </w:tcPr>
          <w:p>
            <w:pPr>
              <w:pStyle w:val="Contenudetableau"/>
              <w:rPr/>
            </w:pPr>
            <w:r>
              <w:rPr>
                <w:rStyle w:val="Strong"/>
              </w:rPr>
              <w:t>Liquidity Provision</w:t>
            </w:r>
          </w:p>
        </w:tc>
        <w:tc>
          <w:tcPr>
            <w:tcW w:w="1261" w:type="dxa"/>
            <w:tcBorders/>
            <w:vAlign w:val="center"/>
          </w:tcPr>
          <w:p>
            <w:pPr>
              <w:pStyle w:val="Contenudetableau"/>
              <w:rPr/>
            </w:pPr>
            <w:r>
              <w:rPr/>
              <w:t>5%</w:t>
            </w:r>
          </w:p>
        </w:tc>
        <w:tc>
          <w:tcPr>
            <w:tcW w:w="1655" w:type="dxa"/>
            <w:tcBorders/>
            <w:vAlign w:val="center"/>
          </w:tcPr>
          <w:p>
            <w:pPr>
              <w:pStyle w:val="Contenudetableau"/>
              <w:rPr/>
            </w:pPr>
            <w:r>
              <w:rPr/>
              <w:t>5,000,000 QTI</w:t>
            </w:r>
          </w:p>
        </w:tc>
        <w:tc>
          <w:tcPr>
            <w:tcW w:w="1402" w:type="dxa"/>
            <w:tcBorders/>
            <w:vAlign w:val="center"/>
          </w:tcPr>
          <w:p>
            <w:pPr>
              <w:pStyle w:val="Contenudetableau"/>
              <w:rPr/>
            </w:pPr>
            <w:r>
              <w:rPr/>
              <w:t>Immediate</w:t>
            </w:r>
          </w:p>
        </w:tc>
        <w:tc>
          <w:tcPr>
            <w:tcW w:w="3196" w:type="dxa"/>
            <w:tcBorders/>
            <w:vAlign w:val="center"/>
          </w:tcPr>
          <w:p>
            <w:pPr>
              <w:pStyle w:val="Contenudetableau"/>
              <w:rPr/>
            </w:pPr>
            <w:r>
              <w:rPr/>
              <w:t>Market-responsive release</w:t>
            </w:r>
          </w:p>
        </w:tc>
      </w:tr>
    </w:tbl>
    <w:p>
      <w:pPr>
        <w:pStyle w:val="Heading4"/>
        <w:ind w:hanging="0" w:start="0" w:end="0"/>
        <w:rPr/>
      </w:pPr>
      <w:r>
        <w:rPr/>
      </w:r>
    </w:p>
    <w:p>
      <w:pPr>
        <w:pStyle w:val="BodyText"/>
        <w:jc w:val="both"/>
        <w:rPr>
          <w:b/>
          <w:bCs/>
        </w:rPr>
      </w:pPr>
      <w:bookmarkStart w:id="24" w:name="__RefHeading___Toc3155_59253517"/>
      <w:bookmarkStart w:id="25" w:name="voteescrowveqtisystem"/>
      <w:bookmarkEnd w:id="24"/>
      <w:bookmarkEnd w:id="25"/>
      <w:r>
        <w:rPr>
          <w:b/>
          <w:bCs/>
        </w:rPr>
        <w:t>Vote-Escrow (veQTI) System</w:t>
      </w:r>
    </w:p>
    <w:p>
      <w:pPr>
        <w:pStyle w:val="BodyText"/>
        <w:jc w:val="both"/>
        <w:rPr/>
      </w:pPr>
      <w:r>
        <w:rPr/>
        <w:t>QTI holders can lock their tokens for periods ranging from 1 week to 4 years, receiving voting power multipliers up to 4x base weight. This system ensures long-term alignment and prevents governance attacks while enabling meaningful decentralized decision-making.</w:t>
      </w:r>
    </w:p>
    <w:p>
      <w:pPr>
        <w:pStyle w:val="BodyText"/>
        <w:jc w:val="both"/>
        <w:rPr/>
      </w:pPr>
      <w:r>
        <w:rPr>
          <w:rStyle w:val="Strong"/>
        </w:rPr>
        <w:t>Governance operates through three layers:</w:t>
      </w:r>
    </w:p>
    <w:p>
      <w:pPr>
        <w:pStyle w:val="BodyText"/>
        <w:numPr>
          <w:ilvl w:val="0"/>
          <w:numId w:val="23"/>
        </w:numPr>
        <w:tabs>
          <w:tab w:val="clear" w:pos="709"/>
          <w:tab w:val="left" w:pos="0" w:leader="none"/>
        </w:tabs>
        <w:spacing w:before="0" w:after="0"/>
        <w:ind w:hanging="283" w:start="709"/>
        <w:jc w:val="both"/>
        <w:rPr/>
      </w:pPr>
      <w:r>
        <w:rPr>
          <w:rStyle w:val="Strong"/>
        </w:rPr>
        <w:t>Constitutional Changes:</w:t>
      </w:r>
      <w:r>
        <w:rPr/>
        <w:t xml:space="preserve"> 85% threshold, 14-day timelock (protocol parameters, emergency procedures) </w:t>
      </w:r>
    </w:p>
    <w:p>
      <w:pPr>
        <w:pStyle w:val="BodyText"/>
        <w:numPr>
          <w:ilvl w:val="0"/>
          <w:numId w:val="23"/>
        </w:numPr>
        <w:tabs>
          <w:tab w:val="clear" w:pos="709"/>
          <w:tab w:val="left" w:pos="0" w:leader="none"/>
        </w:tabs>
        <w:spacing w:before="0" w:after="0"/>
        <w:ind w:hanging="283" w:start="709"/>
        <w:jc w:val="both"/>
        <w:rPr/>
      </w:pPr>
      <w:r>
        <w:rPr>
          <w:rStyle w:val="Strong"/>
        </w:rPr>
        <w:t>Operational Decisions:</w:t>
      </w:r>
      <w:r>
        <w:rPr/>
        <w:t xml:space="preserve"> 60% threshold, 3-day timelock (fee structures, incentive programs) </w:t>
      </w:r>
    </w:p>
    <w:p>
      <w:pPr>
        <w:pStyle w:val="BodyText"/>
        <w:numPr>
          <w:ilvl w:val="0"/>
          <w:numId w:val="23"/>
        </w:numPr>
        <w:tabs>
          <w:tab w:val="clear" w:pos="709"/>
          <w:tab w:val="left" w:pos="0" w:leader="none"/>
        </w:tabs>
        <w:ind w:hanging="283" w:start="709"/>
        <w:jc w:val="both"/>
        <w:rPr/>
      </w:pPr>
      <w:r>
        <w:rPr>
          <w:rStyle w:val="Strong"/>
        </w:rPr>
        <w:t>Community Proposals:</w:t>
      </w:r>
      <w:r>
        <w:rPr/>
        <w:t xml:space="preserve"> Simple majority, 24-hour timelock (grants, marketing initiatives) </w:t>
      </w:r>
    </w:p>
    <w:p>
      <w:pPr>
        <w:pStyle w:val="Heading4"/>
        <w:ind w:hanging="0" w:start="0" w:end="0"/>
        <w:jc w:val="both"/>
        <w:rPr/>
      </w:pPr>
      <w:r>
        <w:rPr/>
      </w:r>
    </w:p>
    <w:p>
      <w:pPr>
        <w:pStyle w:val="BodyText"/>
        <w:ind w:hanging="0" w:start="0" w:end="0"/>
        <w:jc w:val="both"/>
        <w:rPr/>
      </w:pPr>
      <w:r>
        <w:rPr/>
      </w:r>
    </w:p>
    <w:p>
      <w:pPr>
        <w:pStyle w:val="BodyText"/>
        <w:ind w:hanging="0" w:start="0" w:end="0"/>
        <w:jc w:val="both"/>
        <w:rPr/>
      </w:pPr>
      <w:r>
        <w:rPr/>
      </w:r>
    </w:p>
    <w:p>
      <w:pPr>
        <w:pStyle w:val="BodyText"/>
        <w:jc w:val="both"/>
        <w:rPr>
          <w:b/>
          <w:bCs/>
        </w:rPr>
      </w:pPr>
      <w:bookmarkStart w:id="26" w:name="__RefHeading___Toc3157_59253517"/>
      <w:bookmarkStart w:id="27" w:name="stqeuroyieldbearingeuroinfrastructure"/>
      <w:bookmarkEnd w:id="26"/>
      <w:bookmarkEnd w:id="27"/>
      <w:r>
        <w:rPr>
          <w:b/>
          <w:bCs/>
        </w:rPr>
        <w:t>stQEURO: Yield-Bearing Euro Infrastructure</w:t>
      </w:r>
    </w:p>
    <w:p>
      <w:pPr>
        <w:pStyle w:val="BodyText"/>
        <w:jc w:val="both"/>
        <w:rPr/>
      </w:pPr>
      <w:r>
        <w:rPr/>
        <w:t>stQEURO represents the protocol's yield-bearing token, automatically compounding returns from QEURO collateral deployment. Unlike traditional staking mechanisms, stQEURO maintains constant token quantity in user wallets while increasing intrinsic value over time through the formula:</w:t>
      </w:r>
    </w:p>
    <w:p>
      <w:pPr>
        <w:pStyle w:val="BodyText"/>
        <w:jc w:val="both"/>
        <w:rPr/>
      </w:pPr>
      <w:r>
        <w:rPr>
          <w:rStyle w:val="Strong"/>
        </w:rPr>
        <w:t>stQEURO Value = 1 stQEURO = (1 + Cumulative Yield Rate) QEURO</w:t>
      </w:r>
    </w:p>
    <w:p>
      <w:pPr>
        <w:pStyle w:val="BodyText"/>
        <w:jc w:val="both"/>
        <w:rPr/>
      </w:pPr>
      <w:r>
        <w:rPr/>
        <w:t>Key benefits include:</w:t>
      </w:r>
    </w:p>
    <w:p>
      <w:pPr>
        <w:pStyle w:val="BodyText"/>
        <w:numPr>
          <w:ilvl w:val="0"/>
          <w:numId w:val="24"/>
        </w:numPr>
        <w:tabs>
          <w:tab w:val="clear" w:pos="709"/>
          <w:tab w:val="left" w:pos="0" w:leader="none"/>
        </w:tabs>
        <w:spacing w:before="0" w:after="0"/>
        <w:ind w:hanging="283" w:start="709"/>
        <w:jc w:val="both"/>
        <w:rPr/>
      </w:pPr>
      <w:r>
        <w:rPr>
          <w:rStyle w:val="Strong"/>
        </w:rPr>
        <w:t>Automatic Compounding:</w:t>
      </w:r>
      <w:r>
        <w:rPr/>
        <w:t xml:space="preserve"> No manual reinvestment required </w:t>
      </w:r>
    </w:p>
    <w:p>
      <w:pPr>
        <w:pStyle w:val="BodyText"/>
        <w:numPr>
          <w:ilvl w:val="0"/>
          <w:numId w:val="24"/>
        </w:numPr>
        <w:tabs>
          <w:tab w:val="clear" w:pos="709"/>
          <w:tab w:val="left" w:pos="0" w:leader="none"/>
        </w:tabs>
        <w:spacing w:before="0" w:after="0"/>
        <w:ind w:hanging="283" w:start="709"/>
        <w:jc w:val="both"/>
        <w:rPr/>
      </w:pPr>
      <w:r>
        <w:rPr>
          <w:rStyle w:val="Strong"/>
        </w:rPr>
        <w:t>Instant Liquidity:</w:t>
      </w:r>
      <w:r>
        <w:rPr/>
        <w:t xml:space="preserve"> No lock periods or withdrawal delays </w:t>
      </w:r>
    </w:p>
    <w:p>
      <w:pPr>
        <w:pStyle w:val="BodyText"/>
        <w:numPr>
          <w:ilvl w:val="0"/>
          <w:numId w:val="24"/>
        </w:numPr>
        <w:tabs>
          <w:tab w:val="clear" w:pos="709"/>
          <w:tab w:val="left" w:pos="0" w:leader="none"/>
        </w:tabs>
        <w:spacing w:before="0" w:after="0"/>
        <w:ind w:hanging="283" w:start="709"/>
        <w:jc w:val="both"/>
        <w:rPr/>
      </w:pPr>
      <w:r>
        <w:rPr>
          <w:rStyle w:val="Strong"/>
        </w:rPr>
        <w:t>DeFi Composability:</w:t>
      </w:r>
      <w:r>
        <w:rPr/>
        <w:t xml:space="preserve"> Full integration across protocols while earning yield </w:t>
      </w:r>
    </w:p>
    <w:p>
      <w:pPr>
        <w:pStyle w:val="BodyText"/>
        <w:numPr>
          <w:ilvl w:val="0"/>
          <w:numId w:val="24"/>
        </w:numPr>
        <w:tabs>
          <w:tab w:val="clear" w:pos="709"/>
          <w:tab w:val="left" w:pos="0" w:leader="none"/>
        </w:tabs>
        <w:ind w:hanging="283" w:start="709"/>
        <w:jc w:val="both"/>
        <w:rPr/>
      </w:pPr>
      <w:r>
        <w:rPr>
          <w:rStyle w:val="Strong"/>
        </w:rPr>
        <w:t>Tax Efficiency:</w:t>
      </w:r>
      <w:r>
        <w:rPr/>
        <w:t xml:space="preserve"> No rebase events creating potential taxable income </w:t>
      </w:r>
    </w:p>
    <w:p>
      <w:pPr>
        <w:pStyle w:val="Heading4"/>
        <w:ind w:hanging="0" w:start="0" w:end="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28" w:name="__RefHeading___Toc455_1632554855"/>
      <w:bookmarkEnd w:id="28"/>
      <w:r>
        <w:rPr>
          <w:rFonts w:ascii="Manrope Medium" w:hAnsi="Manrope Medium"/>
        </w:rPr>
        <w:t>5.2 Yield Mechanics and the "Yield Shift"</w:t>
      </w:r>
    </w:p>
    <w:p>
      <w:pPr>
        <w:pStyle w:val="BodyText"/>
        <w:bidi w:val="0"/>
        <w:jc w:val="both"/>
        <w:rPr/>
      </w:pPr>
      <w:r>
        <w:rPr>
          <w:rFonts w:ascii="Manrope Medium" w:hAnsi="Manrope Medium"/>
        </w:rPr>
        <w:t xml:space="preserve">Quantillon introduces an innovative mechanism called the </w:t>
      </w:r>
      <w:r>
        <w:rPr>
          <w:rStyle w:val="Strong"/>
          <w:rFonts w:ascii="Manrope Medium" w:hAnsi="Manrope Medium"/>
        </w:rPr>
        <w:t>Yield Shift</w:t>
      </w:r>
      <w:r>
        <w:rPr>
          <w:rFonts w:ascii="Manrope Medium" w:hAnsi="Manrope Medium"/>
        </w:rPr>
        <w:t>, which serves as the protocol’s internal rebalancing engine. It functions by redistributing yield between Users and Hedgers based on market conditions, supply/demand imbalances, and peg deviation pressures.</w:t>
      </w:r>
    </w:p>
    <w:p>
      <w:pPr>
        <w:pStyle w:val="BodyText"/>
        <w:bidi w:val="0"/>
        <w:jc w:val="both"/>
        <w:rPr>
          <w:rFonts w:ascii="Manrope Medium" w:hAnsi="Manrope Medium"/>
        </w:rPr>
      </w:pPr>
      <w:r>
        <w:rPr>
          <w:rFonts w:ascii="Manrope Medium" w:hAnsi="Manrope Medium"/>
        </w:rPr>
        <w:t>Collateral deployed in DeFi protocols (e.g., Aave) generates a baseline APY. From this yield:</w:t>
      </w:r>
    </w:p>
    <w:p>
      <w:pPr>
        <w:pStyle w:val="BodyText"/>
        <w:numPr>
          <w:ilvl w:val="0"/>
          <w:numId w:val="8"/>
        </w:numPr>
        <w:tabs>
          <w:tab w:val="left" w:pos="709" w:leader="none"/>
        </w:tabs>
        <w:bidi w:val="0"/>
        <w:ind w:hanging="283" w:start="709"/>
        <w:jc w:val="both"/>
        <w:rPr>
          <w:rFonts w:ascii="Manrope Medium" w:hAnsi="Manrope Medium"/>
        </w:rPr>
      </w:pPr>
      <w:r>
        <w:rPr>
          <w:rFonts w:ascii="Manrope Medium" w:hAnsi="Manrope Medium"/>
        </w:rPr>
        <w:t>A protocol fee of 10% is applied.</w:t>
      </w:r>
    </w:p>
    <w:p>
      <w:pPr>
        <w:pStyle w:val="BodyText"/>
        <w:numPr>
          <w:ilvl w:val="0"/>
          <w:numId w:val="8"/>
        </w:numPr>
        <w:tabs>
          <w:tab w:val="left" w:pos="709" w:leader="none"/>
        </w:tabs>
        <w:bidi w:val="0"/>
        <w:ind w:hanging="283" w:start="709"/>
        <w:jc w:val="both"/>
        <w:rPr>
          <w:rFonts w:ascii="Manrope Medium" w:hAnsi="Manrope Medium"/>
        </w:rPr>
      </w:pPr>
      <w:r>
        <w:rPr>
          <w:rFonts w:ascii="Manrope Medium" w:hAnsi="Manrope Medium"/>
        </w:rPr>
        <w:t>Hedgers receive a fixed compensation based on the EUR/USD interest rate spread (typically ~1%).</w:t>
      </w:r>
    </w:p>
    <w:p>
      <w:pPr>
        <w:pStyle w:val="BodyText"/>
        <w:numPr>
          <w:ilvl w:val="0"/>
          <w:numId w:val="8"/>
        </w:numPr>
        <w:tabs>
          <w:tab w:val="left" w:pos="709" w:leader="none"/>
        </w:tabs>
        <w:bidi w:val="0"/>
        <w:ind w:hanging="283" w:start="709"/>
        <w:jc w:val="both"/>
        <w:rPr>
          <w:rFonts w:ascii="Manrope Medium" w:hAnsi="Manrope Medium"/>
        </w:rPr>
      </w:pPr>
      <w:r>
        <w:rPr>
          <w:rFonts w:ascii="Manrope Medium" w:hAnsi="Manrope Medium"/>
        </w:rPr>
        <w:t>The residual is then distributed variably:</w:t>
      </w:r>
    </w:p>
    <w:p>
      <w:pPr>
        <w:pStyle w:val="BodyText"/>
        <w:numPr>
          <w:ilvl w:val="1"/>
          <w:numId w:val="8"/>
        </w:numPr>
        <w:tabs>
          <w:tab w:val="clear" w:pos="709"/>
          <w:tab w:val="left" w:pos="1418" w:leader="none"/>
        </w:tabs>
        <w:bidi w:val="0"/>
        <w:ind w:hanging="283" w:start="1418"/>
        <w:jc w:val="both"/>
        <w:rPr/>
      </w:pPr>
      <w:r>
        <w:rPr>
          <w:rStyle w:val="Strong"/>
          <w:rFonts w:ascii="Manrope Medium" w:hAnsi="Manrope Medium"/>
        </w:rPr>
        <w:t>Positive Yield Shift</w:t>
      </w:r>
      <w:r>
        <w:rPr>
          <w:rFonts w:ascii="Manrope Medium" w:hAnsi="Manrope Medium"/>
        </w:rPr>
        <w:t xml:space="preserve">: More yield </w:t>
      </w:r>
      <w:r>
        <w:rPr>
          <w:rFonts w:ascii="Manrope Medium" w:hAnsi="Manrope Medium"/>
        </w:rPr>
        <w:t xml:space="preserve">incentivizes Hedgers </w:t>
      </w:r>
      <w:r>
        <w:rPr>
          <w:rFonts w:ascii="Manrope Medium" w:hAnsi="Manrope Medium"/>
        </w:rPr>
        <w:t xml:space="preserve">when </w:t>
      </w:r>
      <w:r>
        <w:rPr>
          <w:rFonts w:ascii="Manrope Medium" w:hAnsi="Manrope Medium"/>
        </w:rPr>
        <w:t xml:space="preserve">their supply </w:t>
      </w:r>
      <w:r>
        <w:rPr>
          <w:rFonts w:ascii="Manrope Medium" w:hAnsi="Manrope Medium"/>
        </w:rPr>
        <w:t xml:space="preserve">is </w:t>
      </w:r>
      <w:r>
        <w:rPr>
          <w:rFonts w:ascii="Manrope Medium" w:hAnsi="Manrope Medium"/>
        </w:rPr>
        <w:t>insufficient</w:t>
      </w:r>
      <w:r>
        <w:rPr>
          <w:rFonts w:ascii="Manrope Medium" w:hAnsi="Manrope Medium"/>
        </w:rPr>
        <w:t>.</w:t>
      </w:r>
    </w:p>
    <w:p>
      <w:pPr>
        <w:pStyle w:val="BodyText"/>
        <w:numPr>
          <w:ilvl w:val="1"/>
          <w:numId w:val="8"/>
        </w:numPr>
        <w:tabs>
          <w:tab w:val="clear" w:pos="709"/>
          <w:tab w:val="left" w:pos="1418" w:leader="none"/>
        </w:tabs>
        <w:bidi w:val="0"/>
        <w:ind w:hanging="283" w:start="1418"/>
        <w:jc w:val="both"/>
        <w:rPr/>
      </w:pPr>
      <w:r>
        <w:rPr>
          <w:rStyle w:val="Strong"/>
          <w:rFonts w:ascii="Manrope Medium" w:hAnsi="Manrope Medium"/>
        </w:rPr>
        <w:t>Negative Yield Shift</w:t>
      </w:r>
      <w:r>
        <w:rPr>
          <w:rFonts w:ascii="Manrope Medium" w:hAnsi="Manrope Medium"/>
        </w:rPr>
        <w:t xml:space="preserve">: More yield </w:t>
      </w:r>
      <w:r>
        <w:rPr>
          <w:rFonts w:ascii="Manrope Medium" w:hAnsi="Manrope Medium"/>
        </w:rPr>
        <w:t xml:space="preserve">flows to Users </w:t>
      </w:r>
      <w:r>
        <w:rPr>
          <w:rFonts w:ascii="Manrope Medium" w:hAnsi="Manrope Medium"/>
        </w:rPr>
        <w:t xml:space="preserve">when </w:t>
      </w:r>
      <w:r>
        <w:rPr>
          <w:rFonts w:ascii="Manrope Medium" w:hAnsi="Manrope Medium"/>
        </w:rPr>
        <w:t>hedger</w:t>
      </w:r>
      <w:r>
        <w:rPr>
          <w:rFonts w:ascii="Manrope Medium" w:hAnsi="Manrope Medium"/>
        </w:rPr>
        <w:t xml:space="preserve">s </w:t>
      </w:r>
      <w:r>
        <w:rPr>
          <w:rFonts w:ascii="Manrope Medium" w:hAnsi="Manrope Medium"/>
        </w:rPr>
        <w:t>participation is high.</w:t>
      </w:r>
    </w:p>
    <w:p>
      <w:pPr>
        <w:pStyle w:val="BodyText"/>
        <w:bidi w:val="0"/>
        <w:jc w:val="both"/>
        <w:rPr>
          <w:rFonts w:ascii="Manrope Medium" w:hAnsi="Manrope Medium"/>
        </w:rPr>
      </w:pPr>
      <w:r>
        <w:rPr>
          <w:rFonts w:ascii="Manrope Medium" w:hAnsi="Manrope Medium"/>
        </w:rPr>
        <w:t xml:space="preserve">This creates a dynamic equilibrium. The Yield Shift is not discretionary; it is governed by predefined formulas based on real-time FX </w:t>
      </w:r>
      <w:r>
        <w:rPr>
          <w:rFonts w:ascii="Manrope Medium" w:hAnsi="Manrope Medium"/>
        </w:rPr>
        <w:t>rate</w:t>
      </w:r>
      <w:r>
        <w:rPr>
          <w:rFonts w:ascii="Manrope Medium" w:hAnsi="Manrope Medium"/>
        </w:rPr>
        <w:t xml:space="preserve"> and </w:t>
      </w:r>
      <w:r>
        <w:rPr>
          <w:rFonts w:ascii="Manrope Medium" w:hAnsi="Manrope Medium"/>
        </w:rPr>
        <w:t>User/Hedger supply and demand</w:t>
      </w:r>
      <w:r>
        <w:rPr>
          <w:rFonts w:ascii="Manrope Medium" w:hAnsi="Manrope Medium"/>
        </w:rPr>
        <w:t>. Governance can only modify its parameters within capped ranges, preserving systemic integrity.</w:t>
      </w:r>
    </w:p>
    <w:p>
      <w:pPr>
        <w:pStyle w:val="BodyText"/>
        <w:bidi w:val="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29" w:name="__RefHeading___Toc457_1632554855"/>
      <w:bookmarkEnd w:id="29"/>
      <w:r>
        <w:rPr>
          <w:rFonts w:ascii="Manrope Medium" w:hAnsi="Manrope Medium"/>
        </w:rPr>
        <w:t>5.3 Incentive Alignment and Protocol Sustainability</w:t>
      </w:r>
    </w:p>
    <w:p>
      <w:pPr>
        <w:pStyle w:val="BodyText"/>
        <w:bidi w:val="0"/>
        <w:jc w:val="both"/>
        <w:rPr/>
      </w:pPr>
      <w:r>
        <w:rPr>
          <w:rFonts w:ascii="Manrope Medium" w:hAnsi="Manrope Medium"/>
        </w:rPr>
        <w:t xml:space="preserve">$QTI also serves as an incentive layer through </w:t>
      </w:r>
      <w:r>
        <w:rPr>
          <w:rStyle w:val="Strong"/>
          <w:rFonts w:ascii="Manrope Medium" w:hAnsi="Manrope Medium"/>
        </w:rPr>
        <w:t>liquidity mining programs</w:t>
      </w:r>
      <w:r>
        <w:rPr>
          <w:rFonts w:ascii="Manrope Medium" w:hAnsi="Manrope Medium"/>
        </w:rPr>
        <w:t>, staking multipliers, and governance rewards. These incentives are time-bound and designed to bootstrap early adoption without creating long-term inflationary pressures.</w:t>
      </w:r>
    </w:p>
    <w:p>
      <w:pPr>
        <w:pStyle w:val="BodyText"/>
        <w:bidi w:val="0"/>
        <w:jc w:val="both"/>
        <w:rPr/>
      </w:pPr>
      <w:r>
        <w:rPr>
          <w:rFonts w:ascii="Manrope Medium" w:hAnsi="Manrope Medium"/>
        </w:rPr>
        <w:t xml:space="preserve">In the longer term, the protocol aims to activate the </w:t>
      </w:r>
      <w:r>
        <w:rPr>
          <w:rStyle w:val="Strong"/>
          <w:rFonts w:ascii="Manrope Medium" w:hAnsi="Manrope Medium"/>
        </w:rPr>
        <w:t>Fee Switch</w:t>
      </w:r>
      <w:r>
        <w:rPr>
          <w:rFonts w:ascii="Manrope Medium" w:hAnsi="Manrope Medium"/>
        </w:rPr>
        <w:t>, diverting a portion of transaction and yield fees to a treasury governed by $QTI holders. This treasury may be used to:</w:t>
      </w:r>
    </w:p>
    <w:p>
      <w:pPr>
        <w:pStyle w:val="BodyText"/>
        <w:numPr>
          <w:ilvl w:val="0"/>
          <w:numId w:val="9"/>
        </w:numPr>
        <w:tabs>
          <w:tab w:val="left" w:pos="709" w:leader="none"/>
        </w:tabs>
        <w:bidi w:val="0"/>
        <w:ind w:hanging="283" w:start="709"/>
        <w:jc w:val="both"/>
        <w:rPr>
          <w:rFonts w:ascii="Manrope Medium" w:hAnsi="Manrope Medium"/>
        </w:rPr>
      </w:pPr>
      <w:r>
        <w:rPr>
          <w:rFonts w:ascii="Manrope Medium" w:hAnsi="Manrope Medium"/>
        </w:rPr>
        <w:t>Fund audits and research</w:t>
      </w:r>
    </w:p>
    <w:p>
      <w:pPr>
        <w:pStyle w:val="BodyText"/>
        <w:numPr>
          <w:ilvl w:val="0"/>
          <w:numId w:val="9"/>
        </w:numPr>
        <w:tabs>
          <w:tab w:val="left" w:pos="709" w:leader="none"/>
        </w:tabs>
        <w:bidi w:val="0"/>
        <w:ind w:hanging="283" w:start="709"/>
        <w:jc w:val="both"/>
        <w:rPr>
          <w:rFonts w:ascii="Manrope Medium" w:hAnsi="Manrope Medium"/>
        </w:rPr>
      </w:pPr>
      <w:r>
        <w:rPr>
          <w:rFonts w:ascii="Manrope Medium" w:hAnsi="Manrope Medium"/>
        </w:rPr>
        <w:t>Provide insurance buffers</w:t>
      </w:r>
    </w:p>
    <w:p>
      <w:pPr>
        <w:pStyle w:val="BodyText"/>
        <w:numPr>
          <w:ilvl w:val="0"/>
          <w:numId w:val="9"/>
        </w:numPr>
        <w:tabs>
          <w:tab w:val="left" w:pos="709" w:leader="none"/>
        </w:tabs>
        <w:bidi w:val="0"/>
        <w:ind w:hanging="283" w:start="709"/>
        <w:jc w:val="both"/>
        <w:rPr>
          <w:rFonts w:ascii="Manrope Medium" w:hAnsi="Manrope Medium"/>
        </w:rPr>
      </w:pPr>
      <w:r>
        <w:rPr>
          <w:rFonts w:ascii="Manrope Medium" w:hAnsi="Manrope Medium"/>
        </w:rPr>
        <w:t>Invest in ecosystem integrations or cross-chain bridges</w:t>
      </w:r>
    </w:p>
    <w:p>
      <w:pPr>
        <w:pStyle w:val="BodyText"/>
        <w:bidi w:val="0"/>
        <w:jc w:val="both"/>
        <w:rPr>
          <w:rFonts w:ascii="Manrope Medium" w:hAnsi="Manrope Medium"/>
        </w:rPr>
      </w:pPr>
      <w:r>
        <w:rPr>
          <w:rFonts w:ascii="Manrope Medium" w:hAnsi="Manrope Medium"/>
        </w:rPr>
        <w:t>Sustainability is further ensured by the protocol’s lean cost structure. With an estimated burn rate of €400,000 per year and projected revenues of €500,000 at 20M TVL, Quantillon achieves operating surplus early on. This surplus can be reinvested in growth or redistributed through token buybacks or veQTI-style locking mechanisms.</w:t>
      </w:r>
    </w:p>
    <w:p>
      <w:pPr>
        <w:pStyle w:val="BodyText"/>
        <w:bidi w:val="0"/>
        <w:jc w:val="both"/>
        <w:rPr>
          <w:rFonts w:ascii="Manrope Medium" w:hAnsi="Manrope Medium"/>
        </w:rPr>
      </w:pPr>
      <w:r>
        <w:rPr>
          <w:rFonts w:ascii="Manrope Medium" w:hAnsi="Manrope Medium"/>
        </w:rPr>
        <w:t>Governance mechanisms are engineered to be progressive. In early phases, protocol changes may require multi-signature validation from the Quantillon Foundation to ensure operational security. Over time, power will transition toward full DAO control, contingent on metrics like TVL, QTI token dispersion, and governance participation rates.</w:t>
      </w:r>
    </w:p>
    <w:p>
      <w:pPr>
        <w:pStyle w:val="BodyText"/>
        <w:bidi w:val="0"/>
        <w:jc w:val="both"/>
        <w:rPr>
          <w:rFonts w:ascii="Manrope Medium" w:hAnsi="Manrope Medium"/>
        </w:rPr>
      </w:pPr>
      <w:r>
        <w:rPr>
          <w:rFonts w:ascii="Manrope Medium" w:hAnsi="Manrope Medium"/>
        </w:rPr>
        <w:t>Quantillon’s tokenomics combine strong economic incentives with a governance architecture inspired by proven DeFi protocols such as Curve, Aave, and MakerDAO, while adapting them to the specific needs of eurozone compliance and FX stability.</w:t>
      </w:r>
    </w:p>
    <w:p>
      <w:pPr>
        <w:pStyle w:val="Normal"/>
        <w:bidi w:val="0"/>
        <w:jc w:val="both"/>
        <w:rPr>
          <w:rFonts w:ascii="Manrope Medium" w:hAnsi="Manrope Medium"/>
        </w:rPr>
      </w:pPr>
      <w:r>
        <w:rPr>
          <w:rFonts w:ascii="Manrope Medium" w:hAnsi="Manrope Medium"/>
        </w:rPr>
      </w:r>
      <w:r>
        <w:br w:type="page"/>
      </w:r>
    </w:p>
    <w:p>
      <w:pPr>
        <w:pStyle w:val="Heading2"/>
        <w:bidi w:val="0"/>
        <w:spacing w:before="0" w:after="120"/>
        <w:jc w:val="both"/>
        <w:rPr>
          <w:rFonts w:ascii="Manrope Medium" w:hAnsi="Manrope Medium"/>
        </w:rPr>
      </w:pPr>
      <w:bookmarkStart w:id="30" w:name="__RefHeading___Toc459_1632554855"/>
      <w:bookmarkEnd w:id="30"/>
      <w:r>
        <w:rPr>
          <w:rFonts w:ascii="Manrope Medium" w:hAnsi="Manrope Medium"/>
        </w:rPr>
        <w:t>6. Business Model &amp; Economic Sustainability</w:t>
      </w:r>
    </w:p>
    <w:p>
      <w:pPr>
        <w:pStyle w:val="BodyText"/>
        <w:bidi w:val="0"/>
        <w:spacing w:before="0" w:after="120"/>
        <w:jc w:val="both"/>
        <w:rPr>
          <w:rFonts w:ascii="Manrope Medium" w:hAnsi="Manrope Medium"/>
        </w:rPr>
      </w:pPr>
      <w:r>
        <w:rPr>
          <w:rFonts w:ascii="Manrope Medium" w:hAnsi="Manrope Medium"/>
        </w:rPr>
      </w:r>
    </w:p>
    <w:p>
      <w:pPr>
        <w:pStyle w:val="BodyText"/>
        <w:bidi w:val="0"/>
        <w:jc w:val="both"/>
        <w:rPr>
          <w:rFonts w:ascii="Manrope Medium" w:hAnsi="Manrope Medium"/>
        </w:rPr>
      </w:pPr>
      <w:r>
        <w:rPr>
          <w:rFonts w:ascii="Manrope Medium" w:hAnsi="Manrope Medium"/>
        </w:rPr>
        <w:t>Quantillon Protocol is structured around a dual-source revenue model that prioritizes scalability, capital efficiency, and long-term sustainability. In contrast to speculative or transaction-based DeFi projects, Quantillon generates recurring income from two distinct but complementary streams:</w:t>
      </w:r>
    </w:p>
    <w:p>
      <w:pPr>
        <w:pStyle w:val="BodyText"/>
        <w:numPr>
          <w:ilvl w:val="0"/>
          <w:numId w:val="10"/>
        </w:numPr>
        <w:tabs>
          <w:tab w:val="left" w:pos="709" w:leader="none"/>
        </w:tabs>
        <w:bidi w:val="0"/>
        <w:ind w:hanging="283" w:start="709"/>
        <w:jc w:val="both"/>
        <w:rPr/>
      </w:pPr>
      <w:r>
        <w:rPr>
          <w:rStyle w:val="Strong"/>
          <w:rFonts w:ascii="Manrope Medium" w:hAnsi="Manrope Medium"/>
        </w:rPr>
        <w:t>Protocol fees:</w:t>
      </w:r>
      <w:r>
        <w:rPr>
          <w:rFonts w:ascii="Manrope Medium" w:hAnsi="Manrope Medium"/>
        </w:rPr>
        <w:t xml:space="preserve"> A fixed 0.1% fee is levied on all mint and redeem operations involving QEURO.</w:t>
      </w:r>
    </w:p>
    <w:p>
      <w:pPr>
        <w:pStyle w:val="BodyText"/>
        <w:numPr>
          <w:ilvl w:val="0"/>
          <w:numId w:val="10"/>
        </w:numPr>
        <w:tabs>
          <w:tab w:val="left" w:pos="709" w:leader="none"/>
        </w:tabs>
        <w:bidi w:val="0"/>
        <w:ind w:hanging="283" w:start="709"/>
        <w:jc w:val="both"/>
        <w:rPr/>
      </w:pPr>
      <w:r>
        <w:rPr>
          <w:rStyle w:val="Strong"/>
          <w:rFonts w:ascii="Manrope Medium" w:hAnsi="Manrope Medium"/>
        </w:rPr>
        <w:t>Collateral yield:</w:t>
      </w:r>
      <w:r>
        <w:rPr>
          <w:rFonts w:ascii="Manrope Medium" w:hAnsi="Manrope Medium"/>
        </w:rPr>
        <w:t xml:space="preserve"> The protocol captures 10% of the yield generated by deploying collateral (primarily USDC) in battle-tested DeFi platforms such as Aave.</w:t>
      </w:r>
    </w:p>
    <w:p>
      <w:pPr>
        <w:pStyle w:val="BodyText"/>
        <w:bidi w:val="0"/>
        <w:jc w:val="both"/>
        <w:rPr>
          <w:rFonts w:ascii="Manrope Medium" w:hAnsi="Manrope Medium"/>
        </w:rPr>
      </w:pPr>
      <w:r>
        <w:rPr>
          <w:rFonts w:ascii="Manrope Medium" w:hAnsi="Manrope Medium"/>
        </w:rPr>
        <w:t>This model is transparent, predictable, and resilient across market cycles. It aligns closely with the utility-driven design of the protocol, ensuring that revenues scale proportionally with user activity and TVL (Total Value Locked).</w:t>
      </w:r>
    </w:p>
    <w:p>
      <w:pPr>
        <w:pStyle w:val="BodyText"/>
        <w:bidi w:val="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31" w:name="__RefHeading___Toc461_1632554855"/>
      <w:bookmarkEnd w:id="31"/>
      <w:r>
        <w:rPr>
          <w:rFonts w:ascii="Manrope Medium" w:hAnsi="Manrope Medium"/>
        </w:rPr>
        <w:t>6.1 Revenue Forecasts and Operating Leverage</w:t>
      </w:r>
    </w:p>
    <w:p>
      <w:pPr>
        <w:pStyle w:val="BodyText"/>
        <w:jc w:val="both"/>
        <w:rPr/>
      </w:pPr>
      <w:r>
        <w:rPr/>
        <w:t>Quantillon's three-token architecture generates multiple sustainable revenue streams that scale proportionally with ecosystem growth and user adoption.</w:t>
      </w:r>
    </w:p>
    <w:p>
      <w:pPr>
        <w:pStyle w:val="BodyText"/>
        <w:jc w:val="both"/>
        <w:rPr>
          <w:b/>
          <w:bCs/>
        </w:rPr>
      </w:pPr>
      <w:bookmarkStart w:id="32" w:name="__RefHeading___Toc3159_59253517"/>
      <w:bookmarkStart w:id="33" w:name="primaryrevenuesources"/>
      <w:bookmarkEnd w:id="32"/>
      <w:bookmarkEnd w:id="33"/>
      <w:r>
        <w:rPr>
          <w:b/>
          <w:bCs/>
        </w:rPr>
        <w:t>Primary Revenue Sources</w:t>
      </w:r>
    </w:p>
    <w:p>
      <w:pPr>
        <w:pStyle w:val="BodyText"/>
        <w:jc w:val="both"/>
        <w:rPr/>
      </w:pPr>
      <w:r>
        <w:rPr>
          <w:rStyle w:val="Strong"/>
        </w:rPr>
        <w:t>1. QEURO Operations (Core Stablecoin Activity)</w:t>
      </w:r>
    </w:p>
    <w:p>
      <w:pPr>
        <w:pStyle w:val="BodyText"/>
        <w:numPr>
          <w:ilvl w:val="0"/>
          <w:numId w:val="25"/>
        </w:numPr>
        <w:tabs>
          <w:tab w:val="clear" w:pos="709"/>
          <w:tab w:val="left" w:pos="0" w:leader="none"/>
        </w:tabs>
        <w:spacing w:before="0" w:after="0"/>
        <w:ind w:hanging="283" w:start="709"/>
        <w:jc w:val="both"/>
        <w:rPr/>
      </w:pPr>
      <w:r>
        <w:rPr/>
        <w:t xml:space="preserve">Mint/redeem fees: 0.1% on all QEURO operations </w:t>
      </w:r>
    </w:p>
    <w:p>
      <w:pPr>
        <w:pStyle w:val="BodyText"/>
        <w:numPr>
          <w:ilvl w:val="0"/>
          <w:numId w:val="25"/>
        </w:numPr>
        <w:tabs>
          <w:tab w:val="clear" w:pos="709"/>
          <w:tab w:val="left" w:pos="0" w:leader="none"/>
        </w:tabs>
        <w:spacing w:before="0" w:after="0"/>
        <w:ind w:hanging="283" w:start="709"/>
        <w:jc w:val="both"/>
        <w:rPr/>
      </w:pPr>
      <w:r>
        <w:rPr/>
        <w:t xml:space="preserve">Yield management: 10% of returns from collateral deployment (primarily Aave USDC) </w:t>
      </w:r>
    </w:p>
    <w:p>
      <w:pPr>
        <w:pStyle w:val="BodyText"/>
        <w:numPr>
          <w:ilvl w:val="0"/>
          <w:numId w:val="25"/>
        </w:numPr>
        <w:tabs>
          <w:tab w:val="clear" w:pos="709"/>
          <w:tab w:val="left" w:pos="0" w:leader="none"/>
        </w:tabs>
        <w:ind w:hanging="283" w:start="709"/>
        <w:jc w:val="both"/>
        <w:rPr/>
      </w:pPr>
      <w:r>
        <w:rPr/>
        <w:t xml:space="preserve">Liquidation penalties: 2-5% of liquidated hedger and user positions </w:t>
      </w:r>
    </w:p>
    <w:p>
      <w:pPr>
        <w:pStyle w:val="BodyText"/>
        <w:jc w:val="both"/>
        <w:rPr/>
      </w:pPr>
      <w:r>
        <w:rPr>
          <w:rStyle w:val="Strong"/>
        </w:rPr>
        <w:t>2. stQEURO Yield Infrastructure</w:t>
      </w:r>
    </w:p>
    <w:p>
      <w:pPr>
        <w:pStyle w:val="BodyText"/>
        <w:numPr>
          <w:ilvl w:val="0"/>
          <w:numId w:val="26"/>
        </w:numPr>
        <w:tabs>
          <w:tab w:val="clear" w:pos="709"/>
          <w:tab w:val="left" w:pos="0" w:leader="none"/>
        </w:tabs>
        <w:spacing w:before="0" w:after="0"/>
        <w:ind w:hanging="283" w:start="709"/>
        <w:jc w:val="both"/>
        <w:rPr/>
      </w:pPr>
      <w:r>
        <w:rPr/>
        <w:t xml:space="preserve">Staking operation fees: 0.05% on stake/unstake transactions </w:t>
      </w:r>
    </w:p>
    <w:p>
      <w:pPr>
        <w:pStyle w:val="BodyText"/>
        <w:numPr>
          <w:ilvl w:val="0"/>
          <w:numId w:val="26"/>
        </w:numPr>
        <w:tabs>
          <w:tab w:val="clear" w:pos="709"/>
          <w:tab w:val="left" w:pos="0" w:leader="none"/>
        </w:tabs>
        <w:spacing w:before="0" w:after="0"/>
        <w:ind w:hanging="283" w:start="709"/>
        <w:jc w:val="both"/>
        <w:rPr/>
      </w:pPr>
      <w:r>
        <w:rPr/>
        <w:t xml:space="preserve">Enhanced trading volume through improved user retention </w:t>
      </w:r>
    </w:p>
    <w:p>
      <w:pPr>
        <w:pStyle w:val="BodyText"/>
        <w:numPr>
          <w:ilvl w:val="0"/>
          <w:numId w:val="26"/>
        </w:numPr>
        <w:tabs>
          <w:tab w:val="clear" w:pos="709"/>
          <w:tab w:val="left" w:pos="0" w:leader="none"/>
        </w:tabs>
        <w:ind w:hanging="283" w:start="709"/>
        <w:jc w:val="both"/>
        <w:rPr/>
      </w:pPr>
      <w:r>
        <w:rPr/>
        <w:t xml:space="preserve">Premium yield optimization services for institutional users </w:t>
      </w:r>
    </w:p>
    <w:p>
      <w:pPr>
        <w:pStyle w:val="BodyText"/>
        <w:jc w:val="both"/>
        <w:rPr/>
      </w:pPr>
      <w:r>
        <w:rPr>
          <w:rStyle w:val="Strong"/>
        </w:rPr>
        <w:t>3. Cross-Protocol Integration</w:t>
      </w:r>
    </w:p>
    <w:p>
      <w:pPr>
        <w:pStyle w:val="BodyText"/>
        <w:numPr>
          <w:ilvl w:val="0"/>
          <w:numId w:val="27"/>
        </w:numPr>
        <w:tabs>
          <w:tab w:val="clear" w:pos="709"/>
          <w:tab w:val="left" w:pos="0" w:leader="none"/>
        </w:tabs>
        <w:spacing w:before="0" w:after="0"/>
        <w:ind w:hanging="283" w:start="709"/>
        <w:jc w:val="both"/>
        <w:rPr/>
      </w:pPr>
      <w:r>
        <w:rPr/>
        <w:t xml:space="preserve">Cross-chain bridge fees: 0.1-0.3% of transfers (Ethereum, Base, Arbitrum, Optimism) </w:t>
      </w:r>
    </w:p>
    <w:p>
      <w:pPr>
        <w:pStyle w:val="BodyText"/>
        <w:numPr>
          <w:ilvl w:val="0"/>
          <w:numId w:val="27"/>
        </w:numPr>
        <w:tabs>
          <w:tab w:val="clear" w:pos="709"/>
          <w:tab w:val="left" w:pos="0" w:leader="none"/>
        </w:tabs>
        <w:spacing w:before="0" w:after="0"/>
        <w:ind w:hanging="283" w:start="709"/>
        <w:jc w:val="both"/>
        <w:rPr/>
      </w:pPr>
      <w:r>
        <w:rPr/>
        <w:t xml:space="preserve">Premium institutional services: advanced analytics, custom integrations </w:t>
      </w:r>
    </w:p>
    <w:p>
      <w:pPr>
        <w:pStyle w:val="BodyText"/>
        <w:numPr>
          <w:ilvl w:val="0"/>
          <w:numId w:val="27"/>
        </w:numPr>
        <w:tabs>
          <w:tab w:val="clear" w:pos="709"/>
          <w:tab w:val="left" w:pos="0" w:leader="none"/>
        </w:tabs>
        <w:ind w:hanging="283" w:start="709"/>
        <w:jc w:val="both"/>
        <w:rPr/>
      </w:pPr>
      <w:r>
        <w:rPr/>
        <w:t xml:space="preserve">Partnership revenue sharing: integrations with CeDeFi platforms </w:t>
      </w:r>
    </w:p>
    <w:p>
      <w:pPr>
        <w:pStyle w:val="BodyText"/>
        <w:jc w:val="both"/>
        <w:rPr/>
      </w:pPr>
      <w:bookmarkStart w:id="34" w:name="__RefHeading___Toc3161_59253517"/>
      <w:bookmarkStart w:id="35" w:name="conservativegrowthscenario50mtvlbyyear1"/>
      <w:bookmarkEnd w:id="34"/>
      <w:bookmarkEnd w:id="35"/>
      <w:r>
        <w:rPr/>
        <w:t>Conservative Growth Scenario (€50M TVL by Year 1)</w:t>
      </w:r>
    </w:p>
    <w:p>
      <w:pPr>
        <w:pStyle w:val="BodyText"/>
        <w:jc w:val="both"/>
        <w:rPr/>
      </w:pPr>
      <w:r>
        <w:rPr>
          <w:rStyle w:val="Strong"/>
          <w:b w:val="false"/>
          <w:bCs w:val="false"/>
          <w:u w:val="single"/>
        </w:rPr>
        <w:t>Revenue Breakdown:</w:t>
      </w:r>
      <w:r>
        <w:rPr>
          <w:b w:val="false"/>
          <w:bCs w:val="false"/>
          <w:u w:val="single"/>
        </w:rPr>
        <w:t xml:space="preserve"> </w:t>
      </w:r>
    </w:p>
    <w:p>
      <w:pPr>
        <w:pStyle w:val="BodyText"/>
        <w:jc w:val="both"/>
        <w:rPr/>
      </w:pPr>
      <w:r>
        <w:rPr/>
        <w:t xml:space="preserve">Annual Revenue Calculation: </w:t>
      </w:r>
    </w:p>
    <w:p>
      <w:pPr>
        <w:pStyle w:val="BodyText"/>
        <w:numPr>
          <w:ilvl w:val="0"/>
          <w:numId w:val="28"/>
        </w:numPr>
        <w:spacing w:before="0" w:after="26"/>
        <w:jc w:val="both"/>
        <w:rPr/>
      </w:pPr>
      <w:r>
        <w:rPr/>
        <w:t xml:space="preserve">Swap Volume: €500M (10x TVL turnover) </w:t>
      </w:r>
    </w:p>
    <w:p>
      <w:pPr>
        <w:pStyle w:val="BodyText"/>
        <w:numPr>
          <w:ilvl w:val="0"/>
          <w:numId w:val="28"/>
        </w:numPr>
        <w:spacing w:before="0" w:after="26"/>
        <w:jc w:val="both"/>
        <w:rPr/>
      </w:pPr>
      <w:r>
        <w:rPr/>
        <w:t xml:space="preserve">Swap Fees: €500M × 0.1% = €500K </w:t>
      </w:r>
    </w:p>
    <w:p>
      <w:pPr>
        <w:pStyle w:val="BodyText"/>
        <w:numPr>
          <w:ilvl w:val="0"/>
          <w:numId w:val="28"/>
        </w:numPr>
        <w:spacing w:before="0" w:after="26"/>
        <w:jc w:val="both"/>
        <w:rPr/>
      </w:pPr>
      <w:r>
        <w:rPr/>
        <w:t xml:space="preserve">Yield Management: €50M × 7% × 10% = €350K </w:t>
      </w:r>
    </w:p>
    <w:p>
      <w:pPr>
        <w:pStyle w:val="BodyText"/>
        <w:numPr>
          <w:ilvl w:val="0"/>
          <w:numId w:val="28"/>
        </w:numPr>
        <w:spacing w:before="0" w:after="26"/>
        <w:jc w:val="both"/>
        <w:rPr/>
      </w:pPr>
      <w:r>
        <w:rPr/>
        <w:t xml:space="preserve">stQEURO Operations: €20M staked × 2% annual turnover × 0.05% = €20K </w:t>
      </w:r>
    </w:p>
    <w:p>
      <w:pPr>
        <w:pStyle w:val="BodyText"/>
        <w:numPr>
          <w:ilvl w:val="0"/>
          <w:numId w:val="28"/>
        </w:numPr>
        <w:spacing w:before="0" w:after="26"/>
        <w:jc w:val="both"/>
        <w:rPr/>
      </w:pPr>
      <w:r>
        <w:rPr/>
        <w:t xml:space="preserve">Cross-Chain Fees: €100M volume × 0.2% average = €200K </w:t>
      </w:r>
    </w:p>
    <w:p>
      <w:pPr>
        <w:pStyle w:val="BodyText"/>
        <w:numPr>
          <w:ilvl w:val="0"/>
          <w:numId w:val="28"/>
        </w:numPr>
        <w:spacing w:before="0" w:after="26"/>
        <w:jc w:val="both"/>
        <w:rPr/>
      </w:pPr>
      <w:r>
        <w:rPr/>
        <w:t xml:space="preserve">Liquidation Penalties: €2M volume × 3% average = €60K </w:t>
      </w:r>
    </w:p>
    <w:p>
      <w:pPr>
        <w:pStyle w:val="BodyText"/>
        <w:numPr>
          <w:ilvl w:val="0"/>
          <w:numId w:val="28"/>
        </w:numPr>
        <w:spacing w:before="0" w:after="26"/>
        <w:jc w:val="both"/>
        <w:rPr/>
      </w:pPr>
      <w:r>
        <w:rPr/>
        <w:t xml:space="preserve">Total Annual Revenue: €1,130K </w:t>
      </w:r>
    </w:p>
    <w:p>
      <w:pPr>
        <w:pStyle w:val="BodyText"/>
        <w:numPr>
          <w:ilvl w:val="0"/>
          <w:numId w:val="28"/>
        </w:numPr>
        <w:spacing w:before="0" w:after="26"/>
        <w:jc w:val="both"/>
        <w:rPr/>
      </w:pPr>
      <w:r>
        <w:rPr/>
        <w:t xml:space="preserve">Operating Costs: €600K (development, infrastructure, legal, audits) </w:t>
      </w:r>
    </w:p>
    <w:p>
      <w:pPr>
        <w:pStyle w:val="BodyText"/>
        <w:numPr>
          <w:ilvl w:val="0"/>
          <w:numId w:val="28"/>
        </w:numPr>
        <w:spacing w:before="0" w:after="26"/>
        <w:jc w:val="both"/>
        <w:rPr/>
      </w:pPr>
      <w:r>
        <w:rPr/>
        <w:t>Net Operating Profit: €530K (47% margin)</w:t>
      </w:r>
    </w:p>
    <w:p>
      <w:pPr>
        <w:pStyle w:val="BodyText"/>
        <w:jc w:val="both"/>
        <w:rPr/>
      </w:pPr>
      <w:r>
        <w:rPr/>
      </w:r>
    </w:p>
    <w:p>
      <w:pPr>
        <w:pStyle w:val="BodyText"/>
        <w:jc w:val="both"/>
        <w:rPr/>
      </w:pPr>
      <w:bookmarkStart w:id="36" w:name="__RefHeading___Toc3163_59253517"/>
      <w:bookmarkStart w:id="37" w:name="optimisticgrowthscenario500mtvlbyyear2"/>
      <w:bookmarkEnd w:id="36"/>
      <w:bookmarkEnd w:id="37"/>
      <w:r>
        <w:rPr/>
        <w:t>Optimistic Growth Scenario (€500M TVL by Year 2)</w:t>
      </w:r>
    </w:p>
    <w:p>
      <w:pPr>
        <w:pStyle w:val="BodyText"/>
        <w:jc w:val="both"/>
        <w:rPr/>
      </w:pPr>
      <w:r>
        <w:rPr>
          <w:rStyle w:val="Strong"/>
          <w:b w:val="false"/>
          <w:bCs w:val="false"/>
          <w:u w:val="single"/>
        </w:rPr>
        <w:t>Revenue Breakdown:</w:t>
      </w:r>
    </w:p>
    <w:p>
      <w:pPr>
        <w:pStyle w:val="BodyText"/>
        <w:jc w:val="both"/>
        <w:rPr/>
      </w:pPr>
      <w:r>
        <w:rPr/>
        <w:t xml:space="preserve">Annual Revenue Calculation: </w:t>
      </w:r>
    </w:p>
    <w:p>
      <w:pPr>
        <w:pStyle w:val="BodyText"/>
        <w:numPr>
          <w:ilvl w:val="0"/>
          <w:numId w:val="29"/>
        </w:numPr>
        <w:spacing w:before="0" w:after="26"/>
        <w:jc w:val="both"/>
        <w:rPr/>
      </w:pPr>
      <w:r>
        <w:rPr/>
        <w:t xml:space="preserve">Swap Volume: €5B (10x TVL turnover) </w:t>
      </w:r>
    </w:p>
    <w:p>
      <w:pPr>
        <w:pStyle w:val="BodyText"/>
        <w:numPr>
          <w:ilvl w:val="0"/>
          <w:numId w:val="29"/>
        </w:numPr>
        <w:spacing w:before="0" w:after="26"/>
        <w:jc w:val="both"/>
        <w:rPr/>
      </w:pPr>
      <w:r>
        <w:rPr/>
        <w:t xml:space="preserve">Swap Fees: €5B × 0.1% = €5M </w:t>
      </w:r>
    </w:p>
    <w:p>
      <w:pPr>
        <w:pStyle w:val="BodyText"/>
        <w:numPr>
          <w:ilvl w:val="0"/>
          <w:numId w:val="29"/>
        </w:numPr>
        <w:spacing w:before="0" w:after="26"/>
        <w:jc w:val="both"/>
        <w:rPr/>
      </w:pPr>
      <w:r>
        <w:rPr/>
        <w:t xml:space="preserve">Yield Management: €500M × 7% × 10% = €3.5M </w:t>
      </w:r>
    </w:p>
    <w:p>
      <w:pPr>
        <w:pStyle w:val="BodyText"/>
        <w:numPr>
          <w:ilvl w:val="0"/>
          <w:numId w:val="29"/>
        </w:numPr>
        <w:spacing w:before="0" w:after="26"/>
        <w:jc w:val="both"/>
        <w:rPr/>
      </w:pPr>
      <w:r>
        <w:rPr/>
        <w:t xml:space="preserve">stQEURO Operations: €300M staked × 3% annual turnover × 0.05% = €450K </w:t>
      </w:r>
    </w:p>
    <w:p>
      <w:pPr>
        <w:pStyle w:val="BodyText"/>
        <w:numPr>
          <w:ilvl w:val="0"/>
          <w:numId w:val="29"/>
        </w:numPr>
        <w:spacing w:before="0" w:after="26"/>
        <w:jc w:val="both"/>
        <w:rPr/>
      </w:pPr>
      <w:r>
        <w:rPr/>
        <w:t xml:space="preserve">Cross-Chain Fees: €1.5B volume × 0.2% average = €3M </w:t>
      </w:r>
    </w:p>
    <w:p>
      <w:pPr>
        <w:pStyle w:val="BodyText"/>
        <w:numPr>
          <w:ilvl w:val="0"/>
          <w:numId w:val="29"/>
        </w:numPr>
        <w:spacing w:before="0" w:after="26"/>
        <w:jc w:val="both"/>
        <w:rPr/>
      </w:pPr>
      <w:r>
        <w:rPr/>
        <w:t xml:space="preserve">Liquidation Penalties: €50M volume × 3% average = €1.5M </w:t>
      </w:r>
    </w:p>
    <w:p>
      <w:pPr>
        <w:pStyle w:val="BodyText"/>
        <w:numPr>
          <w:ilvl w:val="0"/>
          <w:numId w:val="29"/>
        </w:numPr>
        <w:spacing w:before="0" w:after="26"/>
        <w:jc w:val="both"/>
        <w:rPr/>
      </w:pPr>
      <w:r>
        <w:rPr/>
        <w:t xml:space="preserve">Total Annual Revenue: €13.45M </w:t>
      </w:r>
    </w:p>
    <w:p>
      <w:pPr>
        <w:pStyle w:val="BodyText"/>
        <w:numPr>
          <w:ilvl w:val="0"/>
          <w:numId w:val="29"/>
        </w:numPr>
        <w:spacing w:before="0" w:after="26"/>
        <w:jc w:val="both"/>
        <w:rPr/>
      </w:pPr>
      <w:r>
        <w:rPr/>
        <w:t xml:space="preserve">Operating Costs: €2.5M (scaled operations) </w:t>
      </w:r>
    </w:p>
    <w:p>
      <w:pPr>
        <w:pStyle w:val="BodyText"/>
        <w:numPr>
          <w:ilvl w:val="0"/>
          <w:numId w:val="29"/>
        </w:numPr>
        <w:spacing w:before="0" w:after="26"/>
        <w:jc w:val="both"/>
        <w:rPr/>
      </w:pPr>
      <w:r>
        <w:rPr/>
        <w:t>Net Operating Profit: €10.95M (81% margin)</w:t>
      </w:r>
    </w:p>
    <w:p>
      <w:pPr>
        <w:pStyle w:val="BodyText"/>
        <w:jc w:val="both"/>
        <w:rPr/>
      </w:pPr>
      <w:r>
        <w:rPr/>
      </w:r>
    </w:p>
    <w:p>
      <w:pPr>
        <w:pStyle w:val="BodyText"/>
        <w:jc w:val="both"/>
        <w:rPr>
          <w:b/>
          <w:bCs/>
        </w:rPr>
      </w:pPr>
      <w:bookmarkStart w:id="38" w:name="__RefHeading___Toc3165_59253517"/>
      <w:bookmarkStart w:id="39" w:name="keyperformanceindicators"/>
      <w:bookmarkEnd w:id="38"/>
      <w:bookmarkEnd w:id="39"/>
      <w:r>
        <w:rPr>
          <w:b/>
          <w:bCs/>
        </w:rPr>
        <w:t>Key Performance Indicators</w:t>
      </w:r>
    </w:p>
    <w:p>
      <w:pPr>
        <w:pStyle w:val="BodyText"/>
        <w:jc w:val="both"/>
        <w:rPr/>
      </w:pPr>
      <w:r>
        <w:rPr>
          <w:rStyle w:val="Strong"/>
        </w:rPr>
        <w:t>Growth Metrics:</w:t>
      </w:r>
    </w:p>
    <w:p>
      <w:pPr>
        <w:pStyle w:val="BodyText"/>
        <w:numPr>
          <w:ilvl w:val="0"/>
          <w:numId w:val="30"/>
        </w:numPr>
        <w:tabs>
          <w:tab w:val="clear" w:pos="709"/>
          <w:tab w:val="left" w:pos="0" w:leader="none"/>
        </w:tabs>
        <w:spacing w:before="0" w:after="0"/>
        <w:ind w:hanging="283" w:start="709"/>
        <w:jc w:val="both"/>
        <w:rPr/>
      </w:pPr>
      <w:r>
        <w:rPr/>
        <w:t xml:space="preserve">TVL Growth: Target €100M by Month 12, €1B by Month 36 </w:t>
      </w:r>
    </w:p>
    <w:p>
      <w:pPr>
        <w:pStyle w:val="BodyText"/>
        <w:numPr>
          <w:ilvl w:val="0"/>
          <w:numId w:val="30"/>
        </w:numPr>
        <w:tabs>
          <w:tab w:val="clear" w:pos="709"/>
          <w:tab w:val="left" w:pos="0" w:leader="none"/>
        </w:tabs>
        <w:spacing w:before="0" w:after="0"/>
        <w:ind w:hanging="283" w:start="709"/>
        <w:jc w:val="both"/>
        <w:rPr/>
      </w:pPr>
      <w:r>
        <w:rPr/>
        <w:t xml:space="preserve">Staking Adoption: 50%+ of QEURO supply in stQEURO by Year 2 </w:t>
      </w:r>
    </w:p>
    <w:p>
      <w:pPr>
        <w:pStyle w:val="BodyText"/>
        <w:numPr>
          <w:ilvl w:val="0"/>
          <w:numId w:val="30"/>
        </w:numPr>
        <w:tabs>
          <w:tab w:val="clear" w:pos="709"/>
          <w:tab w:val="left" w:pos="0" w:leader="none"/>
        </w:tabs>
        <w:spacing w:before="0" w:after="0"/>
        <w:ind w:hanging="283" w:start="709"/>
        <w:jc w:val="both"/>
        <w:rPr/>
      </w:pPr>
      <w:r>
        <w:rPr/>
        <w:t xml:space="preserve">Daily Volume: 2-5% of TVL in trading activity </w:t>
      </w:r>
    </w:p>
    <w:p>
      <w:pPr>
        <w:pStyle w:val="BodyText"/>
        <w:numPr>
          <w:ilvl w:val="0"/>
          <w:numId w:val="30"/>
        </w:numPr>
        <w:tabs>
          <w:tab w:val="clear" w:pos="709"/>
          <w:tab w:val="left" w:pos="0" w:leader="none"/>
        </w:tabs>
        <w:ind w:hanging="283" w:start="709"/>
        <w:jc w:val="both"/>
        <w:rPr/>
      </w:pPr>
      <w:r>
        <w:rPr/>
        <w:t xml:space="preserve">Cross-Chain Distribution: 30% mainnet, 70% L2 by Year 2 </w:t>
      </w:r>
    </w:p>
    <w:p>
      <w:pPr>
        <w:pStyle w:val="BodyText"/>
        <w:jc w:val="both"/>
        <w:rPr/>
      </w:pPr>
      <w:r>
        <w:rPr>
          <w:rStyle w:val="Strong"/>
        </w:rPr>
        <w:t>Sustainability Metrics:</w:t>
      </w:r>
    </w:p>
    <w:p>
      <w:pPr>
        <w:pStyle w:val="BodyText"/>
        <w:numPr>
          <w:ilvl w:val="0"/>
          <w:numId w:val="31"/>
        </w:numPr>
        <w:tabs>
          <w:tab w:val="clear" w:pos="709"/>
          <w:tab w:val="left" w:pos="0" w:leader="none"/>
        </w:tabs>
        <w:spacing w:before="0" w:after="0"/>
        <w:ind w:hanging="283" w:start="709"/>
        <w:jc w:val="both"/>
        <w:rPr/>
      </w:pPr>
      <w:r>
        <w:rPr/>
        <w:t xml:space="preserve">Operating Margin: Maintain &gt;40% across market conditions </w:t>
      </w:r>
    </w:p>
    <w:p>
      <w:pPr>
        <w:pStyle w:val="BodyText"/>
        <w:numPr>
          <w:ilvl w:val="0"/>
          <w:numId w:val="31"/>
        </w:numPr>
        <w:tabs>
          <w:tab w:val="clear" w:pos="709"/>
          <w:tab w:val="left" w:pos="0" w:leader="none"/>
        </w:tabs>
        <w:spacing w:before="0" w:after="0"/>
        <w:ind w:hanging="283" w:start="709"/>
        <w:jc w:val="both"/>
        <w:rPr/>
      </w:pPr>
      <w:r>
        <w:rPr/>
        <w:t xml:space="preserve">Revenue Diversification: No single source &gt;60% of total revenue </w:t>
      </w:r>
    </w:p>
    <w:p>
      <w:pPr>
        <w:pStyle w:val="BodyText"/>
        <w:numPr>
          <w:ilvl w:val="0"/>
          <w:numId w:val="31"/>
        </w:numPr>
        <w:tabs>
          <w:tab w:val="clear" w:pos="709"/>
          <w:tab w:val="left" w:pos="0" w:leader="none"/>
        </w:tabs>
        <w:spacing w:before="0" w:after="0"/>
        <w:ind w:hanging="283" w:start="709"/>
        <w:jc w:val="both"/>
        <w:rPr/>
      </w:pPr>
      <w:r>
        <w:rPr/>
        <w:t xml:space="preserve">User Retention: &gt;80% of stQEURO holders active after 6 months </w:t>
      </w:r>
    </w:p>
    <w:p>
      <w:pPr>
        <w:pStyle w:val="BodyText"/>
        <w:numPr>
          <w:ilvl w:val="0"/>
          <w:numId w:val="31"/>
        </w:numPr>
        <w:tabs>
          <w:tab w:val="clear" w:pos="709"/>
          <w:tab w:val="left" w:pos="0" w:leader="none"/>
        </w:tabs>
        <w:ind w:hanging="283" w:start="709"/>
        <w:jc w:val="both"/>
        <w:rPr/>
      </w:pPr>
      <w:r>
        <w:rPr/>
        <w:t>Protocol Utilization: Average &gt;80% of collateral deployed in yield strategies</w:t>
      </w:r>
    </w:p>
    <w:p>
      <w:pPr>
        <w:pStyle w:val="BodyText"/>
        <w:bidi w:val="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40" w:name="__RefHeading___Toc463_1632554855"/>
      <w:bookmarkEnd w:id="40"/>
      <w:r>
        <w:rPr>
          <w:rFonts w:ascii="Manrope Medium" w:hAnsi="Manrope Medium"/>
        </w:rPr>
        <w:t>6.2 Capital Efficiency Through Design</w:t>
      </w:r>
    </w:p>
    <w:p>
      <w:pPr>
        <w:pStyle w:val="BodyText"/>
        <w:bidi w:val="0"/>
        <w:jc w:val="both"/>
        <w:rPr>
          <w:rFonts w:ascii="Manrope Medium" w:hAnsi="Manrope Medium"/>
        </w:rPr>
      </w:pPr>
      <w:r>
        <w:rPr>
          <w:rFonts w:ascii="Manrope Medium" w:hAnsi="Manrope Medium"/>
        </w:rPr>
        <w:t>Quantillon’s model avoids several common inefficiencies in DeFi protocols:</w:t>
      </w:r>
    </w:p>
    <w:p>
      <w:pPr>
        <w:pStyle w:val="BodyText"/>
        <w:numPr>
          <w:ilvl w:val="0"/>
          <w:numId w:val="11"/>
        </w:numPr>
        <w:tabs>
          <w:tab w:val="left" w:pos="709" w:leader="none"/>
        </w:tabs>
        <w:bidi w:val="0"/>
        <w:ind w:hanging="283" w:start="709"/>
        <w:jc w:val="both"/>
        <w:rPr>
          <w:rFonts w:ascii="Manrope Medium" w:hAnsi="Manrope Medium"/>
        </w:rPr>
      </w:pPr>
      <w:r>
        <w:rPr>
          <w:rFonts w:ascii="Manrope Medium" w:hAnsi="Manrope Medium"/>
        </w:rPr>
        <w:t>No dependence on liquidity mining for peg stability</w:t>
      </w:r>
    </w:p>
    <w:p>
      <w:pPr>
        <w:pStyle w:val="BodyText"/>
        <w:numPr>
          <w:ilvl w:val="0"/>
          <w:numId w:val="11"/>
        </w:numPr>
        <w:tabs>
          <w:tab w:val="left" w:pos="709" w:leader="none"/>
        </w:tabs>
        <w:bidi w:val="0"/>
        <w:ind w:hanging="283" w:start="709"/>
        <w:jc w:val="both"/>
        <w:rPr>
          <w:rFonts w:ascii="Manrope Medium" w:hAnsi="Manrope Medium"/>
        </w:rPr>
      </w:pPr>
      <w:r>
        <w:rPr>
          <w:rFonts w:ascii="Manrope Medium" w:hAnsi="Manrope Medium"/>
        </w:rPr>
        <w:t>No bribing mechanisms for gauge voting or yield direction</w:t>
      </w:r>
    </w:p>
    <w:p>
      <w:pPr>
        <w:pStyle w:val="BodyText"/>
        <w:numPr>
          <w:ilvl w:val="0"/>
          <w:numId w:val="11"/>
        </w:numPr>
        <w:tabs>
          <w:tab w:val="left" w:pos="709" w:leader="none"/>
        </w:tabs>
        <w:bidi w:val="0"/>
        <w:ind w:hanging="283" w:start="709"/>
        <w:jc w:val="both"/>
        <w:rPr>
          <w:rFonts w:ascii="Manrope Medium" w:hAnsi="Manrope Medium"/>
        </w:rPr>
      </w:pPr>
      <w:r>
        <w:rPr>
          <w:rFonts w:ascii="Manrope Medium" w:hAnsi="Manrope Medium"/>
        </w:rPr>
        <w:t>Slippage-free mint/redeem operations eliminate arbitrage cost</w:t>
      </w:r>
    </w:p>
    <w:p>
      <w:pPr>
        <w:pStyle w:val="BodyText"/>
        <w:bidi w:val="0"/>
        <w:jc w:val="both"/>
        <w:rPr>
          <w:rFonts w:ascii="Manrope Medium" w:hAnsi="Manrope Medium"/>
        </w:rPr>
      </w:pPr>
      <w:r>
        <w:rPr>
          <w:rFonts w:ascii="Manrope Medium" w:hAnsi="Manrope Medium"/>
        </w:rPr>
        <w:t>The dual-pool architecture with dynamic Yield Shift ensures internal market balance, reducing the need for external incentives or unsustainable emissions. This design is particularly adapted to the eurozone context, where investors tend to prioritize capital preservation and yield visibility.</w:t>
      </w:r>
    </w:p>
    <w:p>
      <w:pPr>
        <w:pStyle w:val="BodyText"/>
        <w:bidi w:val="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41" w:name="__RefHeading___Toc465_1632554855"/>
      <w:bookmarkEnd w:id="41"/>
      <w:r>
        <w:rPr>
          <w:rFonts w:ascii="Manrope Medium" w:hAnsi="Manrope Medium"/>
        </w:rPr>
        <w:t>6.3 Institutional Fit and Monetization Pathways</w:t>
      </w:r>
    </w:p>
    <w:p>
      <w:pPr>
        <w:pStyle w:val="BodyText"/>
        <w:bidi w:val="0"/>
        <w:jc w:val="both"/>
        <w:rPr>
          <w:rFonts w:ascii="Manrope Medium" w:hAnsi="Manrope Medium"/>
        </w:rPr>
      </w:pPr>
      <w:r>
        <w:rPr>
          <w:rFonts w:ascii="Manrope Medium" w:hAnsi="Manrope Medium"/>
        </w:rPr>
        <w:t>Quantillon’s infrastructure allows for multiple monetization pathways:</w:t>
      </w:r>
    </w:p>
    <w:p>
      <w:pPr>
        <w:pStyle w:val="BodyText"/>
        <w:numPr>
          <w:ilvl w:val="0"/>
          <w:numId w:val="12"/>
        </w:numPr>
        <w:tabs>
          <w:tab w:val="left" w:pos="709" w:leader="none"/>
        </w:tabs>
        <w:bidi w:val="0"/>
        <w:ind w:hanging="283" w:start="709"/>
        <w:jc w:val="both"/>
        <w:rPr/>
      </w:pPr>
      <w:r>
        <w:rPr>
          <w:rStyle w:val="Strong"/>
          <w:rFonts w:ascii="Manrope Medium" w:hAnsi="Manrope Medium"/>
        </w:rPr>
        <w:t>Institutional access:</w:t>
      </w:r>
      <w:r>
        <w:rPr>
          <w:rFonts w:ascii="Manrope Medium" w:hAnsi="Manrope Medium"/>
        </w:rPr>
        <w:t xml:space="preserve"> Hedge funds, wealth managers, and corporate treasuries can use QEURO for euro-native exposure in DeFi with reduced compliance overhead.</w:t>
      </w:r>
    </w:p>
    <w:p>
      <w:pPr>
        <w:pStyle w:val="BodyText"/>
        <w:numPr>
          <w:ilvl w:val="0"/>
          <w:numId w:val="12"/>
        </w:numPr>
        <w:tabs>
          <w:tab w:val="left" w:pos="709" w:leader="none"/>
        </w:tabs>
        <w:bidi w:val="0"/>
        <w:ind w:hanging="283" w:start="709"/>
        <w:jc w:val="both"/>
        <w:rPr/>
      </w:pPr>
      <w:r>
        <w:rPr>
          <w:rStyle w:val="Strong"/>
          <w:rFonts w:ascii="Manrope Medium" w:hAnsi="Manrope Medium"/>
        </w:rPr>
        <w:t>CeDeFi integration:</w:t>
      </w:r>
      <w:r>
        <w:rPr>
          <w:rFonts w:ascii="Manrope Medium" w:hAnsi="Manrope Medium"/>
        </w:rPr>
        <w:t xml:space="preserve"> Through partnerships with platforms like Quantfury or Cadmos, QEURO can serve as the euro liquidity backbone in compliant fintech stacks.</w:t>
      </w:r>
    </w:p>
    <w:p>
      <w:pPr>
        <w:pStyle w:val="BodyText"/>
        <w:numPr>
          <w:ilvl w:val="0"/>
          <w:numId w:val="12"/>
        </w:numPr>
        <w:tabs>
          <w:tab w:val="left" w:pos="709" w:leader="none"/>
        </w:tabs>
        <w:bidi w:val="0"/>
        <w:ind w:hanging="283" w:start="709"/>
        <w:jc w:val="both"/>
        <w:rPr/>
      </w:pPr>
      <w:r>
        <w:rPr>
          <w:rStyle w:val="Strong"/>
          <w:rFonts w:ascii="Manrope Medium" w:hAnsi="Manrope Medium"/>
        </w:rPr>
        <w:t>On/off-ramp monetization:</w:t>
      </w:r>
      <w:r>
        <w:rPr>
          <w:rFonts w:ascii="Manrope Medium" w:hAnsi="Manrope Medium"/>
        </w:rPr>
        <w:t xml:space="preserve"> Future integrations with fiat gateways and custody providers may allow for spread-based revenue models.</w:t>
      </w:r>
    </w:p>
    <w:p>
      <w:pPr>
        <w:pStyle w:val="BodyText"/>
        <w:bidi w:val="0"/>
        <w:jc w:val="both"/>
        <w:rPr>
          <w:rFonts w:ascii="Manrope Medium" w:hAnsi="Manrope Medium"/>
        </w:rPr>
      </w:pPr>
      <w:r>
        <w:rPr>
          <w:rFonts w:ascii="Manrope Medium" w:hAnsi="Manrope Medium"/>
        </w:rPr>
        <w:t>The protocol also supports cross-chain deployment, allowing it to tap into ecosystems like Arbitrum, Base, or LayerZero for added liquidity depth and composability. Treasury diversification and fixed-income DeFi strategies can further enhance yield capture without increasing risk.</w:t>
      </w:r>
    </w:p>
    <w:p>
      <w:pPr>
        <w:pStyle w:val="BodyText"/>
        <w:bidi w:val="0"/>
        <w:jc w:val="both"/>
        <w:rPr>
          <w:rFonts w:ascii="Manrope Medium" w:hAnsi="Manrope Medium"/>
        </w:rPr>
      </w:pPr>
      <w:r>
        <w:rPr>
          <w:rFonts w:ascii="Manrope Medium" w:hAnsi="Manrope Medium"/>
        </w:rPr>
        <w:t>In sum, Quantillon is engineered as a low-cost, high-leverage protocol. It combines the efficiency of smart contract automation with the robustness of euro-denominated asset management, resulting in a rare alignment of financial viability and technical rigor in the DeFi space.</w:t>
      </w:r>
    </w:p>
    <w:p>
      <w:pPr>
        <w:pStyle w:val="Normal"/>
        <w:bidi w:val="0"/>
        <w:jc w:val="both"/>
        <w:rPr>
          <w:rFonts w:ascii="Manrope Medium" w:hAnsi="Manrope Medium"/>
        </w:rPr>
      </w:pPr>
      <w:r>
        <w:rPr>
          <w:rFonts w:ascii="Manrope Medium" w:hAnsi="Manrope Medium"/>
        </w:rPr>
      </w:r>
      <w:r>
        <w:br w:type="page"/>
      </w:r>
    </w:p>
    <w:p>
      <w:pPr>
        <w:pStyle w:val="Heading2"/>
        <w:bidi w:val="0"/>
        <w:spacing w:before="0" w:after="120"/>
        <w:jc w:val="both"/>
        <w:rPr>
          <w:rFonts w:ascii="Manrope Medium" w:hAnsi="Manrope Medium"/>
        </w:rPr>
      </w:pPr>
      <w:bookmarkStart w:id="42" w:name="__RefHeading___Toc467_1632554855"/>
      <w:bookmarkEnd w:id="42"/>
      <w:r>
        <w:rPr>
          <w:rFonts w:ascii="Manrope Medium" w:hAnsi="Manrope Medium"/>
        </w:rPr>
        <w:t>7. Risks &amp; Mitigation Strategies</w:t>
      </w:r>
    </w:p>
    <w:p>
      <w:pPr>
        <w:pStyle w:val="BodyText"/>
        <w:bidi w:val="0"/>
        <w:spacing w:before="0" w:after="12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43" w:name="__RefHeading___Toc469_1632554855"/>
      <w:bookmarkEnd w:id="43"/>
      <w:r>
        <w:rPr>
          <w:rFonts w:ascii="Manrope Medium" w:hAnsi="Manrope Medium"/>
        </w:rPr>
        <w:t>7.1 Currency Risk: EUR/USD Volatility</w:t>
      </w:r>
    </w:p>
    <w:p>
      <w:pPr>
        <w:pStyle w:val="BodyText"/>
        <w:bidi w:val="0"/>
        <w:jc w:val="both"/>
        <w:rPr>
          <w:rFonts w:ascii="Manrope Medium" w:hAnsi="Manrope Medium"/>
        </w:rPr>
      </w:pPr>
      <w:r>
        <w:rPr>
          <w:rFonts w:ascii="Manrope Medium" w:hAnsi="Manrope Medium"/>
        </w:rPr>
        <w:t>Quantillon's core innovation—serving euro users via USD-collateralized instruments—requires active hedging of EUR/USD exposure. Volatility in this currency pair, especially under divergent monetary policies between the ECB and the Fed, presents a persistent risk to peg maintenance.</w:t>
      </w:r>
    </w:p>
    <w:p>
      <w:pPr>
        <w:pStyle w:val="BodyText"/>
        <w:bidi w:val="0"/>
        <w:jc w:val="both"/>
        <w:rPr/>
      </w:pPr>
      <w:r>
        <w:rPr>
          <w:rStyle w:val="Strong"/>
          <w:rFonts w:ascii="Manrope Medium" w:hAnsi="Manrope Medium"/>
        </w:rPr>
        <w:t>Mitigation:</w:t>
      </w:r>
      <w:r>
        <w:rPr>
          <w:rFonts w:ascii="Manrope Medium" w:hAnsi="Manrope Medium"/>
        </w:rPr>
        <w:t xml:space="preserve"> The protocol’s architecture is explicitly delta-neutral. Hedgers assume long EUR/USD positions in exchange for predictable compensation, aligning their incentives with peg stability. Liquidation thresholds and real-time FX oracles (e.g., Chainlink) enforce discipline. Additionally, the Yield Shift mechanism acts as a buffer: as FX volatility rises, incentives for hedgers increase dynamically.</w:t>
      </w:r>
    </w:p>
    <w:p>
      <w:pPr>
        <w:pStyle w:val="BodyText"/>
        <w:bidi w:val="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44" w:name="__RefHeading___Toc471_1632554855"/>
      <w:bookmarkEnd w:id="44"/>
      <w:r>
        <w:rPr>
          <w:rFonts w:ascii="Manrope Medium" w:hAnsi="Manrope Medium"/>
        </w:rPr>
        <w:t>7.2 Liquidity Risk: Capital Flight and Redemption Pressure</w:t>
      </w:r>
    </w:p>
    <w:p>
      <w:pPr>
        <w:pStyle w:val="BodyText"/>
        <w:bidi w:val="0"/>
        <w:jc w:val="both"/>
        <w:rPr>
          <w:rFonts w:ascii="Manrope Medium" w:hAnsi="Manrope Medium"/>
        </w:rPr>
      </w:pPr>
      <w:r>
        <w:rPr>
          <w:rFonts w:ascii="Manrope Medium" w:hAnsi="Manrope Medium"/>
        </w:rPr>
        <w:t>Periods of market stress may trigger mass redemptions, potentially challenging the protocol’s ability to unwind positions or liquidate collateral efficiently.</w:t>
      </w:r>
    </w:p>
    <w:p>
      <w:pPr>
        <w:pStyle w:val="BodyText"/>
        <w:bidi w:val="0"/>
        <w:jc w:val="both"/>
        <w:rPr/>
      </w:pPr>
      <w:r>
        <w:rPr>
          <w:rStyle w:val="Strong"/>
          <w:rFonts w:ascii="Manrope Medium" w:hAnsi="Manrope Medium"/>
        </w:rPr>
        <w:t>Mitigation:</w:t>
      </w:r>
      <w:r>
        <w:rPr>
          <w:rFonts w:ascii="Manrope Medium" w:hAnsi="Manrope Medium"/>
        </w:rPr>
        <w:t xml:space="preserve"> Quantillon inherits the deep liquidity of USDC on the user side and leverages the Forex market on the hedger side. Redemption operations are slippage-free, and collateral is deployed on liquid DeFi markets (e.g., Aave) with short withdrawal queues. Furthermore, vault variants allow diversification of exposure (e.g., T-Bills, Maker vaults), improving redemption resiliency.</w:t>
      </w:r>
    </w:p>
    <w:p>
      <w:pPr>
        <w:pStyle w:val="BodyText"/>
        <w:bidi w:val="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45" w:name="__RefHeading___Toc473_1632554855"/>
      <w:bookmarkEnd w:id="45"/>
      <w:r>
        <w:rPr>
          <w:rFonts w:ascii="Manrope Medium" w:hAnsi="Manrope Medium"/>
        </w:rPr>
        <w:t>7.3 Smart Contract and Oracle Risk</w:t>
      </w:r>
    </w:p>
    <w:p>
      <w:pPr>
        <w:pStyle w:val="BodyText"/>
        <w:bidi w:val="0"/>
        <w:jc w:val="both"/>
        <w:rPr>
          <w:rFonts w:ascii="Manrope Medium" w:hAnsi="Manrope Medium"/>
        </w:rPr>
      </w:pPr>
      <w:r>
        <w:rPr>
          <w:rFonts w:ascii="Manrope Medium" w:hAnsi="Manrope Medium"/>
        </w:rPr>
        <w:t>The protocol relies on smart contracts for collateral management, minting, and liquidation. Any vulnerability—whether in protocol contracts or oracle feeds—can undermine systemic integrity.</w:t>
      </w:r>
    </w:p>
    <w:p>
      <w:pPr>
        <w:pStyle w:val="BodyText"/>
        <w:bidi w:val="0"/>
        <w:jc w:val="both"/>
        <w:rPr/>
      </w:pPr>
      <w:r>
        <w:rPr>
          <w:rStyle w:val="Strong"/>
          <w:rFonts w:ascii="Manrope Medium" w:hAnsi="Manrope Medium"/>
        </w:rPr>
        <w:t>Mitigation:</w:t>
      </w:r>
      <w:r>
        <w:rPr>
          <w:rFonts w:ascii="Manrope Medium" w:hAnsi="Manrope Medium"/>
        </w:rPr>
        <w:t xml:space="preserve"> All core smart contracts undergo rigorous auditing and continuous bug bounty programs. The protocol adopts a modular architecture, limiting systemic blast radius in case of an exploit. Oracles are sourced from multiple providers and include circuit breakers for anomalous readings.</w:t>
      </w:r>
    </w:p>
    <w:p>
      <w:pPr>
        <w:pStyle w:val="BodyText"/>
        <w:bidi w:val="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46" w:name="__RefHeading___Toc475_1632554855"/>
      <w:bookmarkEnd w:id="46"/>
      <w:r>
        <w:rPr>
          <w:rFonts w:ascii="Manrope Medium" w:hAnsi="Manrope Medium"/>
        </w:rPr>
        <w:t>7.4 Governance Risk and Protocol Capture</w:t>
      </w:r>
    </w:p>
    <w:p>
      <w:pPr>
        <w:pStyle w:val="BodyText"/>
        <w:bidi w:val="0"/>
        <w:jc w:val="both"/>
        <w:rPr>
          <w:rFonts w:ascii="Manrope Medium" w:hAnsi="Manrope Medium"/>
        </w:rPr>
      </w:pPr>
      <w:r>
        <w:rPr>
          <w:rFonts w:ascii="Manrope Medium" w:hAnsi="Manrope Medium"/>
        </w:rPr>
        <w:t>As with all DAO-based systems, Quantillon faces the risk of governance capture or low voter participation, especially in early phases.</w:t>
      </w:r>
    </w:p>
    <w:p>
      <w:pPr>
        <w:pStyle w:val="BodyText"/>
        <w:bidi w:val="0"/>
        <w:jc w:val="both"/>
        <w:rPr/>
      </w:pPr>
      <w:r>
        <w:rPr>
          <w:rStyle w:val="Strong"/>
          <w:rFonts w:ascii="Manrope Medium" w:hAnsi="Manrope Medium"/>
        </w:rPr>
        <w:t>Mitigation:</w:t>
      </w:r>
      <w:r>
        <w:rPr>
          <w:rFonts w:ascii="Manrope Medium" w:hAnsi="Manrope Medium"/>
        </w:rPr>
        <w:t xml:space="preserve"> Governance powers are progressively decentralized. Initially, the Quantillon Foundation holds veto rights over critical upgrades to ensure stability. Over time, governance evolves toward $QTI token holders. A quorum-based system and time-locked proposals provide transparency and delay in decision-making.</w:t>
      </w:r>
    </w:p>
    <w:p>
      <w:pPr>
        <w:pStyle w:val="BodyText"/>
        <w:bidi w:val="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47" w:name="__RefHeading___Toc477_1632554855"/>
      <w:bookmarkEnd w:id="47"/>
      <w:r>
        <w:rPr>
          <w:rFonts w:ascii="Manrope Medium" w:hAnsi="Manrope Medium"/>
        </w:rPr>
        <w:t>7.5 Regulatory Risk: Legal Classification and MiCA</w:t>
      </w:r>
    </w:p>
    <w:p>
      <w:pPr>
        <w:pStyle w:val="BodyText"/>
        <w:bidi w:val="0"/>
        <w:jc w:val="both"/>
        <w:rPr>
          <w:rFonts w:ascii="Manrope Medium" w:hAnsi="Manrope Medium"/>
        </w:rPr>
      </w:pPr>
      <w:r>
        <w:rPr>
          <w:rFonts w:ascii="Manrope Medium" w:hAnsi="Manrope Medium"/>
        </w:rPr>
        <w:t>Although Quantillon benefits from the Recital 22 exemption under MiCA, regulatory interpretation can evolve, especially as EU authorities refine crypto oversight.</w:t>
      </w:r>
    </w:p>
    <w:p>
      <w:pPr>
        <w:pStyle w:val="BodyText"/>
        <w:bidi w:val="0"/>
        <w:jc w:val="both"/>
        <w:rPr/>
      </w:pPr>
      <w:r>
        <w:rPr>
          <w:rStyle w:val="Strong"/>
          <w:rFonts w:ascii="Manrope Medium" w:hAnsi="Manrope Medium"/>
        </w:rPr>
        <w:t>Mitigation:</w:t>
      </w:r>
      <w:r>
        <w:rPr>
          <w:rFonts w:ascii="Manrope Medium" w:hAnsi="Manrope Medium"/>
        </w:rPr>
        <w:t xml:space="preserve"> The protocol operates under a hybrid compliance architecture. Its decentralized nature is verifiable and publicly auditable. Meanwhile, the Quantillon Foundation interfaces with regulators and external auditors, maintaining legal dialogue (notably with the French ACPR). The Foundation can issue voluntary disclosures or risk assessments without compromising decentralization.</w:t>
      </w:r>
    </w:p>
    <w:p>
      <w:pPr>
        <w:pStyle w:val="BodyText"/>
        <w:bidi w:val="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48" w:name="__RefHeading___Toc479_1632554855"/>
      <w:bookmarkEnd w:id="48"/>
      <w:r>
        <w:rPr>
          <w:rFonts w:ascii="Manrope Medium" w:hAnsi="Manrope Medium"/>
        </w:rPr>
        <w:t>7.6 DeFi Contagion Risk</w:t>
      </w:r>
    </w:p>
    <w:p>
      <w:pPr>
        <w:pStyle w:val="BodyText"/>
        <w:bidi w:val="0"/>
        <w:jc w:val="both"/>
        <w:rPr>
          <w:rFonts w:ascii="Manrope Medium" w:hAnsi="Manrope Medium"/>
        </w:rPr>
      </w:pPr>
      <w:r>
        <w:rPr>
          <w:rFonts w:ascii="Manrope Medium" w:hAnsi="Manrope Medium"/>
        </w:rPr>
        <w:t>Quantillon interacts with other DeFi platforms, notably Aave. In the event of failure or depegging on these platforms, collateral could be impaired.</w:t>
      </w:r>
    </w:p>
    <w:p>
      <w:pPr>
        <w:pStyle w:val="BodyText"/>
        <w:bidi w:val="0"/>
        <w:jc w:val="both"/>
        <w:rPr/>
      </w:pPr>
      <w:r>
        <w:rPr>
          <w:rStyle w:val="Strong"/>
          <w:rFonts w:ascii="Manrope Medium" w:hAnsi="Manrope Medium"/>
        </w:rPr>
        <w:t>Mitigation:</w:t>
      </w:r>
      <w:r>
        <w:rPr>
          <w:rFonts w:ascii="Manrope Medium" w:hAnsi="Manrope Medium"/>
        </w:rPr>
        <w:t xml:space="preserve"> Collateral is diversified across whitelisted protocols. Vault variants can be adjusted via governance to reduce exposure. The protocol monitors real-time risk parameters, including liquidity ratios and asset volatility. In extreme scenarios, emergency pause mechanisms are available.</w:t>
      </w:r>
    </w:p>
    <w:p>
      <w:pPr>
        <w:pStyle w:val="BodyText"/>
        <w:bidi w:val="0"/>
        <w:jc w:val="both"/>
        <w:rPr>
          <w:rFonts w:ascii="Manrope Medium" w:hAnsi="Manrope Medium"/>
        </w:rPr>
      </w:pPr>
      <w:r>
        <w:rPr>
          <w:rFonts w:ascii="Manrope Medium" w:hAnsi="Manrope Medium"/>
        </w:rPr>
        <w:t>Quantillon is built on the principle of resilient decentralization. Rather than avoiding risk, it manages it explicitly through incentive design, robust engineering, and layered governance. This makes it uniquely equipped to operate in a volatile, fragmented, and evolving DeFi environment.</w:t>
      </w:r>
    </w:p>
    <w:p>
      <w:pPr>
        <w:pStyle w:val="Normal"/>
        <w:bidi w:val="0"/>
        <w:jc w:val="both"/>
        <w:rPr>
          <w:rFonts w:ascii="Manrope Medium" w:hAnsi="Manrope Medium"/>
        </w:rPr>
      </w:pPr>
      <w:r>
        <w:rPr>
          <w:rFonts w:ascii="Manrope Medium" w:hAnsi="Manrope Medium"/>
        </w:rPr>
      </w:r>
    </w:p>
    <w:p>
      <w:pPr>
        <w:pStyle w:val="Heading3"/>
        <w:rPr/>
      </w:pPr>
      <w:bookmarkStart w:id="49" w:name="__RefHeading___Toc3167_59253517"/>
      <w:bookmarkEnd w:id="49"/>
      <w:r>
        <w:rPr/>
        <w:t>7.7 stQEURO-Specific Risk Factors</w:t>
      </w:r>
    </w:p>
    <w:p>
      <w:pPr>
        <w:pStyle w:val="BodyText"/>
        <w:jc w:val="both"/>
        <w:rPr/>
      </w:pPr>
      <w:r>
        <w:rPr/>
        <w:t>The introduction of yield-bearing euro infrastructure creates additional risk vectors requiring specialized mitigation strategies.</w:t>
      </w:r>
    </w:p>
    <w:p>
      <w:pPr>
        <w:pStyle w:val="BodyText"/>
        <w:jc w:val="both"/>
        <w:rPr>
          <w:b/>
          <w:bCs/>
        </w:rPr>
      </w:pPr>
      <w:r>
        <w:rPr>
          <w:b/>
          <w:bCs/>
        </w:rPr>
        <w:t>Auto-Compounding Mechanism Risk</w:t>
      </w:r>
    </w:p>
    <w:p>
      <w:pPr>
        <w:pStyle w:val="BodyText"/>
        <w:jc w:val="both"/>
        <w:rPr/>
      </w:pPr>
      <w:r>
        <w:rPr/>
        <w:t>Risk: Smart contract vulnerabilities in yield calculation or distribution logic could result in incorrect stQEURO valuations or user fund loss.</w:t>
      </w:r>
    </w:p>
    <w:p>
      <w:pPr>
        <w:pStyle w:val="BodyText"/>
        <w:jc w:val="both"/>
        <w:rPr/>
      </w:pPr>
      <w:r>
        <w:rPr/>
        <w:t xml:space="preserve">Mitigation: </w:t>
      </w:r>
    </w:p>
    <w:p>
      <w:pPr>
        <w:pStyle w:val="BodyText"/>
        <w:ind w:hanging="0" w:start="709"/>
        <w:jc w:val="both"/>
        <w:rPr/>
      </w:pPr>
      <w:r>
        <w:rPr/>
        <w:t xml:space="preserve">• </w:t>
      </w:r>
      <w:r>
        <w:rPr/>
        <w:t xml:space="preserve">Specialized audits focused exclusively on auto-compounding token mechanics </w:t>
      </w:r>
    </w:p>
    <w:p>
      <w:pPr>
        <w:pStyle w:val="BodyText"/>
        <w:ind w:hanging="0" w:start="709"/>
        <w:jc w:val="both"/>
        <w:rPr/>
      </w:pPr>
      <w:r>
        <w:rPr/>
        <w:t xml:space="preserve">• </w:t>
      </w:r>
      <w:r>
        <w:rPr/>
        <w:t xml:space="preserve">Formal mathematical verification of yield calculation algorithms </w:t>
      </w:r>
    </w:p>
    <w:p>
      <w:pPr>
        <w:pStyle w:val="BodyText"/>
        <w:ind w:hanging="0" w:start="709"/>
        <w:jc w:val="both"/>
        <w:rPr/>
      </w:pPr>
      <w:r>
        <w:rPr/>
        <w:t xml:space="preserve">• </w:t>
      </w:r>
      <w:r>
        <w:rPr/>
        <w:t xml:space="preserve">Real-time monitoring with automated circuit breakers for anomalous calculations </w:t>
      </w:r>
    </w:p>
    <w:p>
      <w:pPr>
        <w:pStyle w:val="BodyText"/>
        <w:ind w:hanging="0" w:start="709"/>
        <w:jc w:val="both"/>
        <w:rPr/>
      </w:pPr>
      <w:r>
        <w:rPr/>
        <w:t xml:space="preserve">• </w:t>
      </w:r>
      <w:r>
        <w:rPr/>
        <w:t xml:space="preserve">Emergency pause functionality with governance-controlled restart procedures </w:t>
      </w:r>
    </w:p>
    <w:p>
      <w:pPr>
        <w:pStyle w:val="BodyText"/>
        <w:ind w:hanging="0" w:start="709"/>
        <w:jc w:val="both"/>
        <w:rPr/>
      </w:pPr>
      <w:r>
        <w:rPr/>
        <w:t xml:space="preserve">• </w:t>
      </w:r>
      <w:r>
        <w:rPr/>
        <w:t xml:space="preserve">Segregated insurance fund (3% of yield) specifically for compounding mechanism failures </w:t>
      </w:r>
    </w:p>
    <w:p>
      <w:pPr>
        <w:pStyle w:val="BodyText"/>
        <w:jc w:val="both"/>
        <w:rPr>
          <w:b/>
          <w:bCs/>
        </w:rPr>
      </w:pPr>
      <w:r>
        <w:rPr>
          <w:b/>
          <w:bCs/>
        </w:rPr>
        <w:t>Yield Volatility and User Expectation Risk</w:t>
      </w:r>
    </w:p>
    <w:p>
      <w:pPr>
        <w:pStyle w:val="BodyText"/>
        <w:jc w:val="both"/>
        <w:rPr/>
      </w:pPr>
      <w:r>
        <w:rPr/>
        <w:t>Risk: Rapid changes in underlying Aave yields could create user dissatisfaction or mass unstaking events if stQEURO returns fall below expectations.</w:t>
      </w:r>
    </w:p>
    <w:p>
      <w:pPr>
        <w:pStyle w:val="BodyText"/>
        <w:jc w:val="both"/>
        <w:rPr/>
      </w:pPr>
      <w:r>
        <w:rPr/>
        <w:t>Mitigation:</w:t>
      </w:r>
    </w:p>
    <w:p>
      <w:pPr>
        <w:pStyle w:val="BodyText"/>
        <w:ind w:hanging="0" w:start="709"/>
        <w:jc w:val="both"/>
        <w:rPr/>
      </w:pPr>
      <w:r>
        <w:rPr/>
        <w:t xml:space="preserve">• </w:t>
      </w:r>
      <w:r>
        <w:rPr/>
        <w:t xml:space="preserve">7-day moving average smoothing for APY display to reduce short-term volatility perception </w:t>
      </w:r>
    </w:p>
    <w:p>
      <w:pPr>
        <w:pStyle w:val="BodyText"/>
        <w:ind w:hanging="0" w:start="709"/>
        <w:jc w:val="both"/>
        <w:rPr/>
      </w:pPr>
      <w:r>
        <w:rPr/>
        <w:t xml:space="preserve">• </w:t>
      </w:r>
      <w:r>
        <w:rPr/>
        <w:t xml:space="preserve">5% protocol yield reserve buffer to maintain consistent distributions during temporary yield drops </w:t>
      </w:r>
    </w:p>
    <w:p>
      <w:pPr>
        <w:pStyle w:val="BodyText"/>
        <w:ind w:hanging="0" w:start="709"/>
        <w:jc w:val="both"/>
        <w:rPr/>
      </w:pPr>
      <w:r>
        <w:rPr/>
        <w:t xml:space="preserve">• </w:t>
      </w:r>
      <w:r>
        <w:rPr/>
        <w:t xml:space="preserve">Maximum 15% APY ceiling to prevent unsustainable user expectations during yield spikes </w:t>
      </w:r>
    </w:p>
    <w:p>
      <w:pPr>
        <w:pStyle w:val="BodyText"/>
        <w:ind w:hanging="0" w:start="709"/>
        <w:jc w:val="both"/>
        <w:rPr/>
      </w:pPr>
      <w:r>
        <w:rPr/>
        <w:t xml:space="preserve">• </w:t>
      </w:r>
      <w:r>
        <w:rPr/>
        <w:t xml:space="preserve">Transparent communication about yield sources and market dependency </w:t>
      </w:r>
    </w:p>
    <w:p>
      <w:pPr>
        <w:pStyle w:val="BodyText"/>
        <w:jc w:val="both"/>
        <w:rPr>
          <w:b/>
          <w:bCs/>
        </w:rPr>
      </w:pPr>
      <w:r>
        <w:rPr>
          <w:b/>
          <w:bCs/>
        </w:rPr>
        <w:t>Cross-Protocol Composability Risk</w:t>
      </w:r>
    </w:p>
    <w:p>
      <w:pPr>
        <w:pStyle w:val="BodyText"/>
        <w:jc w:val="both"/>
        <w:rPr/>
      </w:pPr>
      <w:r>
        <w:rPr/>
        <w:t>Risk: stQEURO's use as collateral in other DeFi protocols could create cascading liquidation events if stQEURO value appreciation calculations fail or if oracle feeds become unreliable.</w:t>
      </w:r>
    </w:p>
    <w:p>
      <w:pPr>
        <w:pStyle w:val="BodyText"/>
        <w:jc w:val="both"/>
        <w:rPr/>
      </w:pPr>
      <w:r>
        <w:rPr/>
        <w:t>Mitigation:</w:t>
      </w:r>
    </w:p>
    <w:p>
      <w:pPr>
        <w:pStyle w:val="BodyText"/>
        <w:ind w:hanging="0" w:start="709"/>
        <w:jc w:val="both"/>
        <w:rPr/>
      </w:pPr>
      <w:r>
        <w:rPr/>
        <w:t xml:space="preserve">• </w:t>
      </w:r>
      <w:r>
        <w:rPr/>
        <w:t xml:space="preserve">Conservative oracle update mechanisms with multiple data sources and heartbeat monitoring </w:t>
      </w:r>
    </w:p>
    <w:p>
      <w:pPr>
        <w:pStyle w:val="BodyText"/>
        <w:ind w:hanging="0" w:start="709"/>
        <w:jc w:val="both"/>
        <w:rPr/>
      </w:pPr>
      <w:r>
        <w:rPr/>
        <w:t xml:space="preserve">• </w:t>
      </w:r>
      <w:r>
        <w:rPr/>
        <w:t xml:space="preserve">Partnership agreements with major DeFi protocols for standardized stQEURO valuation methods </w:t>
      </w:r>
    </w:p>
    <w:p>
      <w:pPr>
        <w:pStyle w:val="BodyText"/>
        <w:ind w:hanging="0" w:start="709"/>
        <w:jc w:val="both"/>
        <w:rPr/>
      </w:pPr>
      <w:r>
        <w:rPr/>
        <w:t xml:space="preserve">• </w:t>
      </w:r>
      <w:r>
        <w:rPr/>
        <w:t xml:space="preserve">Graduated rollout of stQEURO integrations with smaller protocols before major platform adoption </w:t>
      </w:r>
    </w:p>
    <w:p>
      <w:pPr>
        <w:pStyle w:val="BodyText"/>
        <w:ind w:hanging="0" w:start="709"/>
        <w:jc w:val="both"/>
        <w:rPr/>
      </w:pPr>
      <w:r>
        <w:rPr/>
        <w:t xml:space="preserve">• </w:t>
      </w:r>
      <w:r>
        <w:rPr/>
        <w:t xml:space="preserve">Emergency communication channels for rapid coordination during cross-protocol incidents </w:t>
      </w:r>
      <w:r>
        <w:br w:type="page"/>
      </w:r>
    </w:p>
    <w:p>
      <w:pPr>
        <w:pStyle w:val="Heading2"/>
        <w:bidi w:val="0"/>
        <w:spacing w:before="0" w:after="120"/>
        <w:jc w:val="both"/>
        <w:rPr>
          <w:rFonts w:ascii="Manrope Medium" w:hAnsi="Manrope Medium"/>
        </w:rPr>
      </w:pPr>
      <w:bookmarkStart w:id="50" w:name="__RefHeading___Toc481_1632554855"/>
      <w:bookmarkEnd w:id="50"/>
      <w:r>
        <w:rPr>
          <w:rFonts w:ascii="Manrope Medium" w:hAnsi="Manrope Medium"/>
        </w:rPr>
        <w:t>8. Roadmap &amp; Adoption Strategy</w:t>
      </w:r>
    </w:p>
    <w:p>
      <w:pPr>
        <w:pStyle w:val="BodyText"/>
        <w:bidi w:val="0"/>
        <w:spacing w:before="0" w:after="12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51" w:name="__RefHeading___Toc483_1632554855"/>
      <w:bookmarkEnd w:id="51"/>
      <w:r>
        <w:rPr>
          <w:rFonts w:ascii="Manrope Medium" w:hAnsi="Manrope Medium"/>
        </w:rPr>
        <w:t>8.1 Technical and Product Development Timeline</w:t>
      </w:r>
    </w:p>
    <w:p>
      <w:pPr>
        <w:pStyle w:val="BodyText"/>
        <w:bidi w:val="0"/>
        <w:jc w:val="both"/>
        <w:rPr>
          <w:rFonts w:ascii="Manrope Medium" w:hAnsi="Manrope Medium"/>
        </w:rPr>
      </w:pPr>
      <w:r>
        <w:rPr>
          <w:rFonts w:ascii="Manrope Medium" w:hAnsi="Manrope Medium"/>
        </w:rPr>
        <w:t>Quantillon’s roadmap is structured in three phases, balancing rapid deployment with robust institutional integration. Each phase incorporates clear milestones for TVL, user adoption, regulatory preparation, and technological expansion.</w:t>
      </w:r>
    </w:p>
    <w:p>
      <w:pPr>
        <w:pStyle w:val="BodyText"/>
        <w:bidi w:val="0"/>
        <w:jc w:val="both"/>
        <w:rPr>
          <w:rFonts w:ascii="Manrope Medium" w:hAnsi="Manrope Medium"/>
        </w:rPr>
      </w:pPr>
      <w:r>
        <w:rPr>
          <w:rStyle w:val="Strong"/>
          <w:rFonts w:ascii="Manrope Medium" w:hAnsi="Manrope Medium"/>
        </w:rPr>
        <w:t>Phase 1 — Three-Token Launch &amp; Bootstrap (Q4 2025)</w:t>
      </w:r>
    </w:p>
    <w:p>
      <w:pPr>
        <w:pStyle w:val="BodyText"/>
        <w:numPr>
          <w:ilvl w:val="0"/>
          <w:numId w:val="32"/>
        </w:numPr>
        <w:bidi w:val="0"/>
        <w:jc w:val="both"/>
        <w:rPr>
          <w:rFonts w:ascii="Manrope Medium" w:hAnsi="Manrope Medium"/>
        </w:rPr>
      </w:pPr>
      <w:r>
        <w:rPr>
          <w:rStyle w:val="Strong"/>
          <w:rFonts w:ascii="Manrope Medium" w:hAnsi="Manrope Medium"/>
          <w:b w:val="false"/>
          <w:bCs w:val="false"/>
        </w:rPr>
        <w:t>Mainnet deployment of complete three-token ecosystem: QEURO, stQEURO, and QTI</w:t>
      </w:r>
    </w:p>
    <w:p>
      <w:pPr>
        <w:pStyle w:val="BodyText"/>
        <w:numPr>
          <w:ilvl w:val="0"/>
          <w:numId w:val="32"/>
        </w:numPr>
        <w:bidi w:val="0"/>
        <w:jc w:val="both"/>
        <w:rPr>
          <w:rFonts w:ascii="Manrope Medium" w:hAnsi="Manrope Medium"/>
        </w:rPr>
      </w:pPr>
      <w:r>
        <w:rPr>
          <w:rStyle w:val="Strong"/>
          <w:rFonts w:ascii="Manrope Medium" w:hAnsi="Manrope Medium"/>
          <w:b w:val="false"/>
          <w:bCs w:val="false"/>
        </w:rPr>
        <w:t>aQEURO vault launch with Aave USDC integration as primary collateral backend</w:t>
      </w:r>
    </w:p>
    <w:p>
      <w:pPr>
        <w:pStyle w:val="BodyText"/>
        <w:numPr>
          <w:ilvl w:val="0"/>
          <w:numId w:val="32"/>
        </w:numPr>
        <w:bidi w:val="0"/>
        <w:jc w:val="both"/>
        <w:rPr>
          <w:rFonts w:ascii="Manrope Medium" w:hAnsi="Manrope Medium"/>
        </w:rPr>
      </w:pPr>
      <w:r>
        <w:rPr>
          <w:rStyle w:val="Strong"/>
          <w:rFonts w:ascii="Manrope Medium" w:hAnsi="Manrope Medium"/>
          <w:b w:val="false"/>
          <w:bCs w:val="false"/>
        </w:rPr>
        <w:t>veQTI system activation with vote-escrow mechanics and governance layer implementation</w:t>
      </w:r>
    </w:p>
    <w:p>
      <w:pPr>
        <w:pStyle w:val="BodyText"/>
        <w:numPr>
          <w:ilvl w:val="0"/>
          <w:numId w:val="32"/>
        </w:numPr>
        <w:bidi w:val="0"/>
        <w:jc w:val="both"/>
        <w:rPr>
          <w:rFonts w:ascii="Manrope Medium" w:hAnsi="Manrope Medium"/>
        </w:rPr>
      </w:pPr>
      <w:r>
        <w:rPr>
          <w:rStyle w:val="Strong"/>
          <w:rFonts w:ascii="Manrope Medium" w:hAnsi="Manrope Medium"/>
          <w:b w:val="false"/>
          <w:bCs w:val="false"/>
        </w:rPr>
        <w:t>Initial hedger onboarding and liquidity provisioning via Quantillon Labs</w:t>
      </w:r>
    </w:p>
    <w:p>
      <w:pPr>
        <w:pStyle w:val="BodyText"/>
        <w:numPr>
          <w:ilvl w:val="0"/>
          <w:numId w:val="32"/>
        </w:numPr>
        <w:bidi w:val="0"/>
        <w:jc w:val="both"/>
        <w:rPr>
          <w:rFonts w:ascii="Manrope Medium" w:hAnsi="Manrope Medium"/>
        </w:rPr>
      </w:pPr>
      <w:r>
        <w:rPr>
          <w:rStyle w:val="Strong"/>
          <w:rFonts w:ascii="Manrope Medium" w:hAnsi="Manrope Medium"/>
          <w:b w:val="false"/>
          <w:bCs w:val="false"/>
        </w:rPr>
        <w:t>stQEURO auto-compounding mechanism launch with real-time yield calculation</w:t>
      </w:r>
    </w:p>
    <w:p>
      <w:pPr>
        <w:pStyle w:val="BodyText"/>
        <w:numPr>
          <w:ilvl w:val="0"/>
          <w:numId w:val="32"/>
        </w:numPr>
        <w:bidi w:val="0"/>
        <w:jc w:val="both"/>
        <w:rPr>
          <w:rFonts w:ascii="Manrope Medium" w:hAnsi="Manrope Medium"/>
        </w:rPr>
      </w:pPr>
      <w:r>
        <w:rPr>
          <w:rStyle w:val="Strong"/>
          <w:rFonts w:ascii="Manrope Medium" w:hAnsi="Manrope Medium"/>
          <w:b w:val="false"/>
          <w:bCs w:val="false"/>
        </w:rPr>
        <w:t>First comprehensive audit reports published covering all three tokens</w:t>
      </w:r>
    </w:p>
    <w:p>
      <w:pPr>
        <w:pStyle w:val="BodyText"/>
        <w:numPr>
          <w:ilvl w:val="0"/>
          <w:numId w:val="32"/>
        </w:numPr>
        <w:bidi w:val="0"/>
        <w:jc w:val="both"/>
        <w:rPr>
          <w:rFonts w:ascii="Manrope Medium" w:hAnsi="Manrope Medium"/>
        </w:rPr>
      </w:pPr>
      <w:r>
        <w:rPr>
          <w:rStyle w:val="Strong"/>
          <w:rFonts w:ascii="Manrope Medium" w:hAnsi="Manrope Medium"/>
          <w:b w:val="false"/>
          <w:bCs w:val="false"/>
        </w:rPr>
        <w:t>Bug bounty programs initiated with specialized focus on yield-bearing mechanics</w:t>
      </w:r>
    </w:p>
    <w:p>
      <w:pPr>
        <w:pStyle w:val="BodyText"/>
        <w:bidi w:val="0"/>
        <w:jc w:val="both"/>
        <w:rPr>
          <w:rFonts w:ascii="Manrope Medium" w:hAnsi="Manrope Medium"/>
        </w:rPr>
      </w:pPr>
      <w:r>
        <w:rPr>
          <w:rStyle w:val="Strong"/>
          <w:rFonts w:ascii="Manrope Medium" w:hAnsi="Manrope Medium"/>
          <w:b w:val="false"/>
          <w:bCs w:val="false"/>
        </w:rPr>
        <w:t>Target Metrics:</w:t>
      </w:r>
    </w:p>
    <w:p>
      <w:pPr>
        <w:pStyle w:val="BodyText"/>
        <w:numPr>
          <w:ilvl w:val="0"/>
          <w:numId w:val="33"/>
        </w:numPr>
        <w:bidi w:val="0"/>
        <w:jc w:val="both"/>
        <w:rPr>
          <w:rFonts w:ascii="Manrope Medium" w:hAnsi="Manrope Medium"/>
        </w:rPr>
      </w:pPr>
      <w:r>
        <w:rPr>
          <w:rStyle w:val="Strong"/>
          <w:rFonts w:ascii="Manrope Medium" w:hAnsi="Manrope Medium"/>
          <w:b w:val="false"/>
          <w:bCs w:val="false"/>
        </w:rPr>
        <w:t>TVL: €10M total (€6M QEURO, €4M stQEURO)</w:t>
      </w:r>
    </w:p>
    <w:p>
      <w:pPr>
        <w:pStyle w:val="BodyText"/>
        <w:numPr>
          <w:ilvl w:val="0"/>
          <w:numId w:val="33"/>
        </w:numPr>
        <w:bidi w:val="0"/>
        <w:jc w:val="both"/>
        <w:rPr>
          <w:rFonts w:ascii="Manrope Medium" w:hAnsi="Manrope Medium"/>
        </w:rPr>
      </w:pPr>
      <w:r>
        <w:rPr>
          <w:rStyle w:val="Strong"/>
          <w:rFonts w:ascii="Manrope Medium" w:hAnsi="Manrope Medium"/>
          <w:b w:val="false"/>
          <w:bCs w:val="false"/>
        </w:rPr>
        <w:t>Users: 10,000 total (7,000 QEURO holders, 3,000 stQEURO stakers)</w:t>
      </w:r>
    </w:p>
    <w:p>
      <w:pPr>
        <w:pStyle w:val="BodyText"/>
        <w:numPr>
          <w:ilvl w:val="0"/>
          <w:numId w:val="33"/>
        </w:numPr>
        <w:bidi w:val="0"/>
        <w:jc w:val="both"/>
        <w:rPr>
          <w:rFonts w:ascii="Manrope Medium" w:hAnsi="Manrope Medium"/>
        </w:rPr>
      </w:pPr>
      <w:r>
        <w:rPr>
          <w:rStyle w:val="Strong"/>
          <w:rFonts w:ascii="Manrope Medium" w:hAnsi="Manrope Medium"/>
          <w:b w:val="false"/>
          <w:bCs w:val="false"/>
        </w:rPr>
        <w:t>Staking Ratio: 40% of QEURO supply staked as stQEURO</w:t>
      </w:r>
    </w:p>
    <w:p>
      <w:pPr>
        <w:pStyle w:val="BodyText"/>
        <w:numPr>
          <w:ilvl w:val="0"/>
          <w:numId w:val="33"/>
        </w:numPr>
        <w:bidi w:val="0"/>
        <w:jc w:val="both"/>
        <w:rPr>
          <w:rFonts w:ascii="Manrope Medium" w:hAnsi="Manrope Medium"/>
        </w:rPr>
      </w:pPr>
      <w:r>
        <w:rPr>
          <w:rStyle w:val="Strong"/>
          <w:rFonts w:ascii="Manrope Medium" w:hAnsi="Manrope Medium"/>
          <w:b w:val="false"/>
          <w:bCs w:val="false"/>
        </w:rPr>
        <w:t>QTI Market Cap: $5M with 15% governance participation</w:t>
      </w:r>
    </w:p>
    <w:p>
      <w:pPr>
        <w:pStyle w:val="BodyText"/>
        <w:numPr>
          <w:ilvl w:val="0"/>
          <w:numId w:val="33"/>
        </w:numPr>
        <w:bidi w:val="0"/>
        <w:jc w:val="both"/>
        <w:rPr>
          <w:rFonts w:ascii="Manrope Medium" w:hAnsi="Manrope Medium"/>
        </w:rPr>
      </w:pPr>
      <w:r>
        <w:rPr>
          <w:rStyle w:val="Strong"/>
          <w:rFonts w:ascii="Manrope Medium" w:hAnsi="Manrope Medium"/>
          <w:b w:val="false"/>
          <w:bCs w:val="false"/>
        </w:rPr>
        <w:t>Swap Volume: €100M with 0.5% average daily trading velocity</w:t>
      </w:r>
    </w:p>
    <w:p>
      <w:pPr>
        <w:pStyle w:val="BodyText"/>
        <w:bidi w:val="0"/>
        <w:jc w:val="both"/>
        <w:rPr>
          <w:rFonts w:ascii="Manrope Medium" w:hAnsi="Manrope Medium"/>
        </w:rPr>
      </w:pPr>
      <w:r>
        <w:rPr>
          <w:rStyle w:val="Strong"/>
          <w:rFonts w:ascii="Manrope Medium" w:hAnsi="Manrope Medium"/>
          <w:b/>
          <w:bCs/>
        </w:rPr>
        <w:t>Phase 2 — Multi-Vault Expansion &amp; Institutional Integration (Q1-Q2 2026)</w:t>
      </w:r>
    </w:p>
    <w:p>
      <w:pPr>
        <w:pStyle w:val="BodyText"/>
        <w:numPr>
          <w:ilvl w:val="0"/>
          <w:numId w:val="34"/>
        </w:numPr>
        <w:bidi w:val="0"/>
        <w:jc w:val="both"/>
        <w:rPr>
          <w:rFonts w:ascii="Manrope Medium" w:hAnsi="Manrope Medium"/>
        </w:rPr>
      </w:pPr>
      <w:r>
        <w:rPr>
          <w:rStyle w:val="Strong"/>
          <w:rFonts w:ascii="Manrope Medium" w:hAnsi="Manrope Medium"/>
          <w:b w:val="false"/>
          <w:bCs w:val="false"/>
        </w:rPr>
        <w:t>Launch of mQEURO (MakerDAO) and bQEURO (Real World Assets) vault variants</w:t>
      </w:r>
    </w:p>
    <w:p>
      <w:pPr>
        <w:pStyle w:val="BodyText"/>
        <w:numPr>
          <w:ilvl w:val="0"/>
          <w:numId w:val="34"/>
        </w:numPr>
        <w:bidi w:val="0"/>
        <w:jc w:val="both"/>
        <w:rPr>
          <w:rFonts w:ascii="Manrope Medium" w:hAnsi="Manrope Medium"/>
        </w:rPr>
      </w:pPr>
      <w:r>
        <w:rPr>
          <w:rStyle w:val="Strong"/>
          <w:rFonts w:ascii="Manrope Medium" w:hAnsi="Manrope Medium"/>
          <w:b w:val="false"/>
          <w:bCs w:val="false"/>
        </w:rPr>
        <w:t>Cross-chain deployment of complete three-token system on Base and Arbitrum</w:t>
      </w:r>
    </w:p>
    <w:p>
      <w:pPr>
        <w:pStyle w:val="BodyText"/>
        <w:numPr>
          <w:ilvl w:val="0"/>
          <w:numId w:val="34"/>
        </w:numPr>
        <w:bidi w:val="0"/>
        <w:jc w:val="both"/>
        <w:rPr>
          <w:rFonts w:ascii="Manrope Medium" w:hAnsi="Manrope Medium"/>
        </w:rPr>
      </w:pPr>
      <w:r>
        <w:rPr>
          <w:rStyle w:val="Strong"/>
          <w:rFonts w:ascii="Manrope Medium" w:hAnsi="Manrope Medium"/>
          <w:b w:val="false"/>
          <w:bCs w:val="false"/>
        </w:rPr>
        <w:t>Strategic partnerships with CeDeFi brokers and institutional fintech platforms</w:t>
      </w:r>
    </w:p>
    <w:p>
      <w:pPr>
        <w:pStyle w:val="BodyText"/>
        <w:numPr>
          <w:ilvl w:val="0"/>
          <w:numId w:val="34"/>
        </w:numPr>
        <w:bidi w:val="0"/>
        <w:jc w:val="both"/>
        <w:rPr>
          <w:rFonts w:ascii="Manrope Medium" w:hAnsi="Manrope Medium"/>
        </w:rPr>
      </w:pPr>
      <w:r>
        <w:rPr>
          <w:rStyle w:val="Strong"/>
          <w:rFonts w:ascii="Manrope Medium" w:hAnsi="Manrope Medium"/>
          <w:b w:val="false"/>
          <w:bCs w:val="false"/>
        </w:rPr>
        <w:t>Fiat on/off-ramp integrations with regulated custody partners for institutional access</w:t>
      </w:r>
    </w:p>
    <w:p>
      <w:pPr>
        <w:pStyle w:val="BodyText"/>
        <w:numPr>
          <w:ilvl w:val="0"/>
          <w:numId w:val="34"/>
        </w:numPr>
        <w:bidi w:val="0"/>
        <w:jc w:val="both"/>
        <w:rPr>
          <w:rFonts w:ascii="Manrope Medium" w:hAnsi="Manrope Medium"/>
        </w:rPr>
      </w:pPr>
      <w:r>
        <w:rPr>
          <w:rStyle w:val="Strong"/>
          <w:rFonts w:ascii="Manrope Medium" w:hAnsi="Manrope Medium"/>
          <w:b w:val="false"/>
          <w:bCs w:val="false"/>
        </w:rPr>
        <w:t>Advanced stQEURO yield optimization strategies and institutional reporting features</w:t>
      </w:r>
    </w:p>
    <w:p>
      <w:pPr>
        <w:pStyle w:val="BodyText"/>
        <w:numPr>
          <w:ilvl w:val="0"/>
          <w:numId w:val="34"/>
        </w:numPr>
        <w:bidi w:val="0"/>
        <w:jc w:val="both"/>
        <w:rPr>
          <w:rFonts w:ascii="Manrope Medium" w:hAnsi="Manrope Medium"/>
        </w:rPr>
      </w:pPr>
      <w:r>
        <w:rPr>
          <w:rStyle w:val="Strong"/>
          <w:rFonts w:ascii="Manrope Medium" w:hAnsi="Manrope Medium"/>
          <w:b w:val="false"/>
          <w:bCs w:val="false"/>
        </w:rPr>
        <w:t>Mobile application launch with neobank-style interface for retail adoption</w:t>
      </w:r>
    </w:p>
    <w:p>
      <w:pPr>
        <w:pStyle w:val="BodyText"/>
        <w:bidi w:val="0"/>
        <w:jc w:val="both"/>
        <w:rPr>
          <w:rFonts w:ascii="Manrope Medium" w:hAnsi="Manrope Medium"/>
        </w:rPr>
      </w:pPr>
      <w:r>
        <w:rPr>
          <w:rStyle w:val="Strong"/>
          <w:rFonts w:ascii="Manrope Medium" w:hAnsi="Manrope Medium"/>
          <w:b w:val="false"/>
          <w:bCs w:val="false"/>
        </w:rPr>
        <w:t>Target Metrics:</w:t>
      </w:r>
    </w:p>
    <w:p>
      <w:pPr>
        <w:pStyle w:val="BodyText"/>
        <w:numPr>
          <w:ilvl w:val="0"/>
          <w:numId w:val="35"/>
        </w:numPr>
        <w:bidi w:val="0"/>
        <w:jc w:val="both"/>
        <w:rPr>
          <w:rFonts w:ascii="Manrope Medium" w:hAnsi="Manrope Medium"/>
        </w:rPr>
      </w:pPr>
      <w:r>
        <w:rPr>
          <w:rStyle w:val="Strong"/>
          <w:rFonts w:ascii="Manrope Medium" w:hAnsi="Manrope Medium"/>
          <w:b w:val="false"/>
          <w:bCs w:val="false"/>
        </w:rPr>
        <w:t>TVL: €100M total (€60M QEURO, €40M stQEURO across 3 vaults)</w:t>
      </w:r>
    </w:p>
    <w:p>
      <w:pPr>
        <w:pStyle w:val="BodyText"/>
        <w:numPr>
          <w:ilvl w:val="0"/>
          <w:numId w:val="35"/>
        </w:numPr>
        <w:bidi w:val="0"/>
        <w:jc w:val="both"/>
        <w:rPr>
          <w:rFonts w:ascii="Manrope Medium" w:hAnsi="Manrope Medium"/>
        </w:rPr>
      </w:pPr>
      <w:r>
        <w:rPr>
          <w:rStyle w:val="Strong"/>
          <w:rFonts w:ascii="Manrope Medium" w:hAnsi="Manrope Medium"/>
          <w:b w:val="false"/>
          <w:bCs w:val="false"/>
        </w:rPr>
        <w:t>Users: 50,000 total with 60% cross-chain adoption</w:t>
      </w:r>
    </w:p>
    <w:p>
      <w:pPr>
        <w:pStyle w:val="BodyText"/>
        <w:numPr>
          <w:ilvl w:val="0"/>
          <w:numId w:val="35"/>
        </w:numPr>
        <w:bidi w:val="0"/>
        <w:jc w:val="both"/>
        <w:rPr>
          <w:rFonts w:ascii="Manrope Medium" w:hAnsi="Manrope Medium"/>
        </w:rPr>
      </w:pPr>
      <w:r>
        <w:rPr>
          <w:rStyle w:val="Strong"/>
          <w:rFonts w:ascii="Manrope Medium" w:hAnsi="Manrope Medium"/>
          <w:b w:val="false"/>
          <w:bCs w:val="false"/>
        </w:rPr>
        <w:t>Staking Ratio: 60% of QEURO supply in stQEURO variants</w:t>
      </w:r>
    </w:p>
    <w:p>
      <w:pPr>
        <w:pStyle w:val="BodyText"/>
        <w:numPr>
          <w:ilvl w:val="0"/>
          <w:numId w:val="35"/>
        </w:numPr>
        <w:bidi w:val="0"/>
        <w:jc w:val="both"/>
        <w:rPr>
          <w:rFonts w:ascii="Manrope Medium" w:hAnsi="Manrope Medium"/>
        </w:rPr>
      </w:pPr>
      <w:r>
        <w:rPr>
          <w:rStyle w:val="Strong"/>
          <w:rFonts w:ascii="Manrope Medium" w:hAnsi="Manrope Medium"/>
          <w:b w:val="false"/>
          <w:bCs w:val="false"/>
        </w:rPr>
        <w:t>QTI Market Cap: $25M with 25% governance participation</w:t>
      </w:r>
    </w:p>
    <w:p>
      <w:pPr>
        <w:pStyle w:val="BodyText"/>
        <w:numPr>
          <w:ilvl w:val="0"/>
          <w:numId w:val="35"/>
        </w:numPr>
        <w:bidi w:val="0"/>
        <w:jc w:val="both"/>
        <w:rPr>
          <w:rFonts w:ascii="Manrope Medium" w:hAnsi="Manrope Medium"/>
        </w:rPr>
      </w:pPr>
      <w:r>
        <w:rPr>
          <w:rStyle w:val="Strong"/>
          <w:rFonts w:ascii="Manrope Medium" w:hAnsi="Manrope Medium"/>
          <w:b w:val="false"/>
          <w:bCs w:val="false"/>
        </w:rPr>
        <w:t>Institutional AUM: €20M in bQEURO institutional vault</w:t>
      </w:r>
    </w:p>
    <w:p>
      <w:pPr>
        <w:pStyle w:val="BodyText"/>
        <w:numPr>
          <w:ilvl w:val="0"/>
          <w:numId w:val="35"/>
        </w:numPr>
        <w:bidi w:val="0"/>
        <w:jc w:val="both"/>
        <w:rPr>
          <w:rFonts w:ascii="Manrope Medium" w:hAnsi="Manrope Medium"/>
        </w:rPr>
      </w:pPr>
      <w:r>
        <w:rPr>
          <w:rStyle w:val="Strong"/>
          <w:rFonts w:ascii="Manrope Medium" w:hAnsi="Manrope Medium"/>
          <w:b w:val="false"/>
          <w:bCs w:val="false"/>
        </w:rPr>
        <w:t>Cross-Chain Volume: €1B with 30% L2 distribution</w:t>
      </w:r>
    </w:p>
    <w:p>
      <w:pPr>
        <w:pStyle w:val="BodyText"/>
        <w:bidi w:val="0"/>
        <w:jc w:val="both"/>
        <w:rPr>
          <w:rFonts w:ascii="Manrope Medium" w:hAnsi="Manrope Medium"/>
        </w:rPr>
      </w:pPr>
      <w:r>
        <w:rPr>
          <w:rStyle w:val="Strong"/>
          <w:rFonts w:ascii="Manrope Medium" w:hAnsi="Manrope Medium"/>
          <w:b/>
          <w:bCs/>
        </w:rPr>
        <w:t>Phase 3 — Advanced DeFi Integration &amp; Full Decentralization (H2 2026-2027)</w:t>
      </w:r>
    </w:p>
    <w:p>
      <w:pPr>
        <w:pStyle w:val="BodyText"/>
        <w:numPr>
          <w:ilvl w:val="0"/>
          <w:numId w:val="36"/>
        </w:numPr>
        <w:bidi w:val="0"/>
        <w:jc w:val="both"/>
        <w:rPr>
          <w:rFonts w:ascii="Manrope Medium" w:hAnsi="Manrope Medium"/>
        </w:rPr>
      </w:pPr>
      <w:r>
        <w:rPr>
          <w:rStyle w:val="Strong"/>
          <w:rFonts w:ascii="Manrope Medium" w:hAnsi="Manrope Medium"/>
          <w:b w:val="false"/>
          <w:bCs w:val="false"/>
        </w:rPr>
        <w:t>eQEURO vault launch with Ethena and advanced yield strategies (up to 3x leverage)</w:t>
      </w:r>
    </w:p>
    <w:p>
      <w:pPr>
        <w:pStyle w:val="BodyText"/>
        <w:numPr>
          <w:ilvl w:val="0"/>
          <w:numId w:val="36"/>
        </w:numPr>
        <w:bidi w:val="0"/>
        <w:jc w:val="both"/>
        <w:rPr>
          <w:rFonts w:ascii="Manrope Medium" w:hAnsi="Manrope Medium"/>
        </w:rPr>
      </w:pPr>
      <w:r>
        <w:rPr>
          <w:rStyle w:val="Strong"/>
          <w:rFonts w:ascii="Manrope Medium" w:hAnsi="Manrope Medium"/>
          <w:b w:val="false"/>
          <w:bCs w:val="false"/>
        </w:rPr>
        <w:t>Complete cross-chain ecosystem deployment (zkSync, Polygon, additional L2s)</w:t>
      </w:r>
    </w:p>
    <w:p>
      <w:pPr>
        <w:pStyle w:val="BodyText"/>
        <w:numPr>
          <w:ilvl w:val="0"/>
          <w:numId w:val="36"/>
        </w:numPr>
        <w:bidi w:val="0"/>
        <w:jc w:val="both"/>
        <w:rPr>
          <w:rFonts w:ascii="Manrope Medium" w:hAnsi="Manrope Medium"/>
        </w:rPr>
      </w:pPr>
      <w:r>
        <w:rPr>
          <w:rStyle w:val="Strong"/>
          <w:rFonts w:ascii="Manrope Medium" w:hAnsi="Manrope Medium"/>
          <w:b w:val="false"/>
          <w:bCs w:val="false"/>
        </w:rPr>
        <w:t>DAO-controlled treasury activation with full Fee Switch implementation</w:t>
      </w:r>
    </w:p>
    <w:p>
      <w:pPr>
        <w:pStyle w:val="BodyText"/>
        <w:numPr>
          <w:ilvl w:val="0"/>
          <w:numId w:val="36"/>
        </w:numPr>
        <w:bidi w:val="0"/>
        <w:jc w:val="both"/>
        <w:rPr>
          <w:rFonts w:ascii="Manrope Medium" w:hAnsi="Manrope Medium"/>
        </w:rPr>
      </w:pPr>
      <w:r>
        <w:rPr>
          <w:rStyle w:val="Strong"/>
          <w:rFonts w:ascii="Manrope Medium" w:hAnsi="Manrope Medium"/>
          <w:b w:val="false"/>
          <w:bCs w:val="false"/>
        </w:rPr>
        <w:t>Advanced institutional products: custom yield strategies, treasury management APIs</w:t>
      </w:r>
    </w:p>
    <w:p>
      <w:pPr>
        <w:pStyle w:val="BodyText"/>
        <w:numPr>
          <w:ilvl w:val="0"/>
          <w:numId w:val="36"/>
        </w:numPr>
        <w:bidi w:val="0"/>
        <w:jc w:val="both"/>
        <w:rPr>
          <w:rFonts w:ascii="Manrope Medium" w:hAnsi="Manrope Medium"/>
        </w:rPr>
      </w:pPr>
      <w:r>
        <w:rPr>
          <w:rStyle w:val="Strong"/>
          <w:rFonts w:ascii="Manrope Medium" w:hAnsi="Manrope Medium"/>
          <w:b w:val="false"/>
          <w:bCs w:val="false"/>
        </w:rPr>
        <w:t>Full protocol decentralization with governance parameter control transferred to QTI holders</w:t>
      </w:r>
    </w:p>
    <w:p>
      <w:pPr>
        <w:pStyle w:val="BodyText"/>
        <w:numPr>
          <w:ilvl w:val="0"/>
          <w:numId w:val="36"/>
        </w:numPr>
        <w:bidi w:val="0"/>
        <w:jc w:val="both"/>
        <w:rPr>
          <w:rFonts w:ascii="Manrope Medium" w:hAnsi="Manrope Medium"/>
        </w:rPr>
      </w:pPr>
      <w:r>
        <w:rPr>
          <w:rStyle w:val="Strong"/>
          <w:rFonts w:ascii="Manrope Medium" w:hAnsi="Manrope Medium"/>
          <w:b w:val="false"/>
          <w:bCs w:val="false"/>
        </w:rPr>
        <w:t>Integration with 50+ DeFi protocols supporting stQEURO as native collateral</w:t>
      </w:r>
    </w:p>
    <w:p>
      <w:pPr>
        <w:pStyle w:val="BodyText"/>
        <w:numPr>
          <w:ilvl w:val="0"/>
          <w:numId w:val="36"/>
        </w:numPr>
        <w:bidi w:val="0"/>
        <w:jc w:val="both"/>
        <w:rPr>
          <w:rFonts w:ascii="Manrope Medium" w:hAnsi="Manrope Medium"/>
        </w:rPr>
      </w:pPr>
      <w:r>
        <w:rPr>
          <w:rStyle w:val="Strong"/>
          <w:rFonts w:ascii="Manrope Medium" w:hAnsi="Manrope Medium"/>
          <w:b w:val="false"/>
          <w:bCs w:val="false"/>
        </w:rPr>
        <w:t>Traditional finance bridges: CBDC compatibility layer and institutional custody integration</w:t>
      </w:r>
    </w:p>
    <w:p>
      <w:pPr>
        <w:pStyle w:val="BodyText"/>
        <w:bidi w:val="0"/>
        <w:jc w:val="both"/>
        <w:rPr>
          <w:rFonts w:ascii="Manrope Medium" w:hAnsi="Manrope Medium"/>
        </w:rPr>
      </w:pPr>
      <w:r>
        <w:rPr>
          <w:rStyle w:val="Strong"/>
          <w:rFonts w:ascii="Manrope Medium" w:hAnsi="Manrope Medium"/>
          <w:b w:val="false"/>
          <w:bCs w:val="false"/>
        </w:rPr>
        <w:t>Target Metrics:</w:t>
      </w:r>
    </w:p>
    <w:p>
      <w:pPr>
        <w:pStyle w:val="BodyText"/>
        <w:numPr>
          <w:ilvl w:val="0"/>
          <w:numId w:val="37"/>
        </w:numPr>
        <w:bidi w:val="0"/>
        <w:jc w:val="both"/>
        <w:rPr>
          <w:rFonts w:ascii="Manrope Medium" w:hAnsi="Manrope Medium"/>
        </w:rPr>
      </w:pPr>
      <w:r>
        <w:rPr>
          <w:rStyle w:val="Strong"/>
          <w:rFonts w:ascii="Manrope Medium" w:hAnsi="Manrope Medium"/>
          <w:b w:val="false"/>
          <w:bCs w:val="false"/>
        </w:rPr>
        <w:t>TVL: €1B total across all vaults and chains</w:t>
      </w:r>
    </w:p>
    <w:p>
      <w:pPr>
        <w:pStyle w:val="BodyText"/>
        <w:numPr>
          <w:ilvl w:val="0"/>
          <w:numId w:val="37"/>
        </w:numPr>
        <w:bidi w:val="0"/>
        <w:jc w:val="both"/>
        <w:rPr>
          <w:rFonts w:ascii="Manrope Medium" w:hAnsi="Manrope Medium"/>
        </w:rPr>
      </w:pPr>
      <w:r>
        <w:rPr>
          <w:rStyle w:val="Strong"/>
          <w:rFonts w:ascii="Manrope Medium" w:hAnsi="Manrope Medium"/>
          <w:b w:val="false"/>
          <w:bCs w:val="false"/>
        </w:rPr>
        <w:t>Users: 200,000+ with institutional treasury adoption</w:t>
      </w:r>
    </w:p>
    <w:p>
      <w:pPr>
        <w:pStyle w:val="BodyText"/>
        <w:numPr>
          <w:ilvl w:val="0"/>
          <w:numId w:val="37"/>
        </w:numPr>
        <w:bidi w:val="0"/>
        <w:jc w:val="both"/>
        <w:rPr>
          <w:rFonts w:ascii="Manrope Medium" w:hAnsi="Manrope Medium"/>
        </w:rPr>
      </w:pPr>
      <w:r>
        <w:rPr>
          <w:rStyle w:val="Strong"/>
          <w:rFonts w:ascii="Manrope Medium" w:hAnsi="Manrope Medium"/>
          <w:b w:val="false"/>
          <w:bCs w:val="false"/>
        </w:rPr>
        <w:t>Staking Ratio: 70% of QEURO supply optimized across vault variants</w:t>
      </w:r>
    </w:p>
    <w:p>
      <w:pPr>
        <w:pStyle w:val="BodyText"/>
        <w:numPr>
          <w:ilvl w:val="0"/>
          <w:numId w:val="37"/>
        </w:numPr>
        <w:bidi w:val="0"/>
        <w:jc w:val="both"/>
        <w:rPr>
          <w:rFonts w:ascii="Manrope Medium" w:hAnsi="Manrope Medium"/>
        </w:rPr>
      </w:pPr>
      <w:r>
        <w:rPr>
          <w:rStyle w:val="Strong"/>
          <w:rFonts w:ascii="Manrope Medium" w:hAnsi="Manrope Medium"/>
          <w:b w:val="false"/>
          <w:bCs w:val="false"/>
        </w:rPr>
        <w:t>QTI Market Cap: $100M+ with 45% governance participation</w:t>
      </w:r>
    </w:p>
    <w:p>
      <w:pPr>
        <w:pStyle w:val="BodyText"/>
        <w:numPr>
          <w:ilvl w:val="0"/>
          <w:numId w:val="37"/>
        </w:numPr>
        <w:bidi w:val="0"/>
        <w:jc w:val="both"/>
        <w:rPr>
          <w:rFonts w:ascii="Manrope Medium" w:hAnsi="Manrope Medium"/>
        </w:rPr>
      </w:pPr>
      <w:r>
        <w:rPr>
          <w:rStyle w:val="Strong"/>
          <w:rFonts w:ascii="Manrope Medium" w:hAnsi="Manrope Medium"/>
          <w:b w:val="false"/>
          <w:bCs w:val="false"/>
        </w:rPr>
        <w:t>Protocol Revenue: €10M+ annually with 80% margin sustainability</w:t>
      </w:r>
    </w:p>
    <w:p>
      <w:pPr>
        <w:pStyle w:val="BodyText"/>
        <w:numPr>
          <w:ilvl w:val="0"/>
          <w:numId w:val="37"/>
        </w:numPr>
        <w:bidi w:val="0"/>
        <w:jc w:val="both"/>
        <w:rPr>
          <w:rFonts w:ascii="Manrope Medium" w:hAnsi="Manrope Medium"/>
        </w:rPr>
      </w:pPr>
      <w:r>
        <w:rPr>
          <w:rStyle w:val="Strong"/>
          <w:rFonts w:ascii="Manrope Medium" w:hAnsi="Manrope Medium"/>
          <w:b w:val="false"/>
          <w:bCs w:val="false"/>
        </w:rPr>
        <w:t>Cross-Protocol Integration: stQEURO accepted in 50+ major DeFi platforms</w:t>
      </w:r>
    </w:p>
    <w:p>
      <w:pPr>
        <w:pStyle w:val="BodyText"/>
        <w:tabs>
          <w:tab w:val="left" w:pos="709" w:leader="none"/>
        </w:tabs>
        <w:bidi w:val="0"/>
        <w:ind w:hanging="0" w:start="709"/>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52" w:name="__RefHeading___Toc485_1632554855"/>
      <w:bookmarkEnd w:id="52"/>
      <w:r>
        <w:rPr>
          <w:rFonts w:ascii="Manrope Medium" w:hAnsi="Manrope Medium"/>
        </w:rPr>
        <w:t>8.2 Strategic KPIs and Milestones</w:t>
      </w:r>
    </w:p>
    <w:p>
      <w:pPr>
        <w:pStyle w:val="BodyText"/>
        <w:bidi w:val="0"/>
        <w:jc w:val="both"/>
        <w:rPr>
          <w:rFonts w:ascii="Manrope Medium" w:hAnsi="Manrope Medium"/>
        </w:rPr>
      </w:pPr>
      <w:r>
        <w:rPr>
          <w:rFonts w:ascii="Manrope Medium" w:hAnsi="Manrope Medium"/>
        </w:rPr>
        <w:t>Quantillon tracks performance via a set of quantitative and qualitative indicators aligned with its mission:</w:t>
      </w:r>
    </w:p>
    <w:p>
      <w:pPr>
        <w:pStyle w:val="BodyText"/>
        <w:numPr>
          <w:ilvl w:val="0"/>
          <w:numId w:val="13"/>
        </w:numPr>
        <w:tabs>
          <w:tab w:val="left" w:pos="709" w:leader="none"/>
        </w:tabs>
        <w:bidi w:val="0"/>
        <w:ind w:hanging="283" w:start="709"/>
        <w:jc w:val="both"/>
        <w:rPr/>
      </w:pPr>
      <w:r>
        <w:rPr>
          <w:rStyle w:val="Strong"/>
          <w:rFonts w:ascii="Manrope Medium" w:hAnsi="Manrope Medium"/>
        </w:rPr>
        <w:t>TVL Growth</w:t>
      </w:r>
      <w:r>
        <w:rPr>
          <w:rFonts w:ascii="Manrope Medium" w:hAnsi="Manrope Medium"/>
        </w:rPr>
        <w:t>: From €10M (post-launch) to €1B+ in 24 months.</w:t>
      </w:r>
    </w:p>
    <w:p>
      <w:pPr>
        <w:pStyle w:val="BodyText"/>
        <w:numPr>
          <w:ilvl w:val="0"/>
          <w:numId w:val="13"/>
        </w:numPr>
        <w:tabs>
          <w:tab w:val="left" w:pos="709" w:leader="none"/>
        </w:tabs>
        <w:bidi w:val="0"/>
        <w:ind w:hanging="283" w:start="709"/>
        <w:jc w:val="both"/>
        <w:rPr/>
      </w:pPr>
      <w:r>
        <w:rPr>
          <w:rStyle w:val="Strong"/>
          <w:rFonts w:ascii="Manrope Medium" w:hAnsi="Manrope Medium"/>
        </w:rPr>
        <w:t>Swap Volume</w:t>
      </w:r>
      <w:r>
        <w:rPr>
          <w:rFonts w:ascii="Manrope Medium" w:hAnsi="Manrope Medium"/>
        </w:rPr>
        <w:t>: 20× TVL target maintained via market integrations and partner flows.</w:t>
      </w:r>
    </w:p>
    <w:p>
      <w:pPr>
        <w:pStyle w:val="BodyText"/>
        <w:numPr>
          <w:ilvl w:val="0"/>
          <w:numId w:val="13"/>
        </w:numPr>
        <w:tabs>
          <w:tab w:val="left" w:pos="709" w:leader="none"/>
        </w:tabs>
        <w:bidi w:val="0"/>
        <w:ind w:hanging="283" w:start="709"/>
        <w:jc w:val="both"/>
        <w:rPr/>
      </w:pPr>
      <w:r>
        <w:rPr>
          <w:rStyle w:val="Strong"/>
          <w:rFonts w:ascii="Manrope Medium" w:hAnsi="Manrope Medium"/>
        </w:rPr>
        <w:t>User Base</w:t>
      </w:r>
      <w:r>
        <w:rPr>
          <w:rFonts w:ascii="Manrope Medium" w:hAnsi="Manrope Medium"/>
        </w:rPr>
        <w:t>: Growth from early DeFi adopters to mainstream EU retail and B2B.</w:t>
      </w:r>
    </w:p>
    <w:p>
      <w:pPr>
        <w:pStyle w:val="BodyText"/>
        <w:numPr>
          <w:ilvl w:val="0"/>
          <w:numId w:val="13"/>
        </w:numPr>
        <w:tabs>
          <w:tab w:val="left" w:pos="709" w:leader="none"/>
        </w:tabs>
        <w:bidi w:val="0"/>
        <w:ind w:hanging="283" w:start="709"/>
        <w:jc w:val="both"/>
        <w:rPr/>
      </w:pPr>
      <w:r>
        <w:rPr>
          <w:rStyle w:val="Strong"/>
          <w:rFonts w:ascii="Manrope Medium" w:hAnsi="Manrope Medium"/>
        </w:rPr>
        <w:t>Protocol Revenue</w:t>
      </w:r>
      <w:r>
        <w:rPr>
          <w:rFonts w:ascii="Manrope Medium" w:hAnsi="Manrope Medium"/>
        </w:rPr>
        <w:t>: &gt;€500K/year sustainable at €20M TVL.</w:t>
      </w:r>
    </w:p>
    <w:p>
      <w:pPr>
        <w:pStyle w:val="BodyText"/>
        <w:numPr>
          <w:ilvl w:val="0"/>
          <w:numId w:val="13"/>
        </w:numPr>
        <w:tabs>
          <w:tab w:val="left" w:pos="709" w:leader="none"/>
        </w:tabs>
        <w:bidi w:val="0"/>
        <w:ind w:hanging="283" w:start="709"/>
        <w:jc w:val="both"/>
        <w:rPr/>
      </w:pPr>
      <w:r>
        <w:rPr>
          <w:rStyle w:val="Strong"/>
          <w:rFonts w:ascii="Manrope Medium" w:hAnsi="Manrope Medium"/>
        </w:rPr>
        <w:t>Vault Diversity</w:t>
      </w:r>
      <w:r>
        <w:rPr>
          <w:rFonts w:ascii="Manrope Medium" w:hAnsi="Manrope Medium"/>
        </w:rPr>
        <w:t>: Four vaults live with differentiated collateral and risk models.</w:t>
      </w:r>
    </w:p>
    <w:p>
      <w:pPr>
        <w:pStyle w:val="BodyText"/>
        <w:bidi w:val="0"/>
        <w:jc w:val="both"/>
        <w:rPr>
          <w:rFonts w:ascii="Manrope Medium" w:hAnsi="Manrope Medium"/>
        </w:rPr>
      </w:pPr>
      <w:r>
        <w:rPr>
          <w:rFonts w:ascii="Manrope Medium" w:hAnsi="Manrope Medium"/>
        </w:rPr>
        <w:t>Progress is governed by data transparency, with quarterly performance reports published on-chain and by the Quantillon Foundation.</w:t>
      </w:r>
    </w:p>
    <w:p>
      <w:pPr>
        <w:pStyle w:val="BodyText"/>
        <w:bidi w:val="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53" w:name="__RefHeading___Toc487_1632554855"/>
      <w:bookmarkEnd w:id="53"/>
      <w:r>
        <w:rPr>
          <w:rFonts w:ascii="Manrope Medium" w:hAnsi="Manrope Medium"/>
        </w:rPr>
        <w:t>8.3 Ecosystem Development and Network Effects</w:t>
      </w:r>
    </w:p>
    <w:p>
      <w:pPr>
        <w:pStyle w:val="BodyText"/>
        <w:bidi w:val="0"/>
        <w:jc w:val="both"/>
        <w:rPr>
          <w:rFonts w:ascii="Manrope Medium" w:hAnsi="Manrope Medium"/>
        </w:rPr>
      </w:pPr>
      <w:r>
        <w:rPr>
          <w:rFonts w:ascii="Manrope Medium" w:hAnsi="Manrope Medium"/>
        </w:rPr>
        <w:t>Adoption is not only technical but also social and economic. Quantillon’s adoption strategy includes:</w:t>
      </w:r>
    </w:p>
    <w:p>
      <w:pPr>
        <w:pStyle w:val="BodyText"/>
        <w:numPr>
          <w:ilvl w:val="0"/>
          <w:numId w:val="14"/>
        </w:numPr>
        <w:tabs>
          <w:tab w:val="left" w:pos="709" w:leader="none"/>
        </w:tabs>
        <w:bidi w:val="0"/>
        <w:ind w:hanging="283" w:start="709"/>
        <w:jc w:val="both"/>
        <w:rPr/>
      </w:pPr>
      <w:r>
        <w:rPr>
          <w:rStyle w:val="Strong"/>
          <w:rFonts w:ascii="Manrope Medium" w:hAnsi="Manrope Medium"/>
        </w:rPr>
        <w:t>Community growth</w:t>
      </w:r>
      <w:r>
        <w:rPr>
          <w:rFonts w:ascii="Manrope Medium" w:hAnsi="Manrope Medium"/>
        </w:rPr>
        <w:t>: Incentivized programs for ambassadors, contributors, and early adopters.</w:t>
      </w:r>
    </w:p>
    <w:p>
      <w:pPr>
        <w:pStyle w:val="BodyText"/>
        <w:numPr>
          <w:ilvl w:val="0"/>
          <w:numId w:val="14"/>
        </w:numPr>
        <w:tabs>
          <w:tab w:val="left" w:pos="709" w:leader="none"/>
        </w:tabs>
        <w:bidi w:val="0"/>
        <w:ind w:hanging="283" w:start="709"/>
        <w:jc w:val="both"/>
        <w:rPr/>
      </w:pPr>
      <w:r>
        <w:rPr>
          <w:rStyle w:val="Strong"/>
          <w:rFonts w:ascii="Manrope Medium" w:hAnsi="Manrope Medium"/>
        </w:rPr>
        <w:t>B2B pipelines</w:t>
      </w:r>
      <w:r>
        <w:rPr>
          <w:rFonts w:ascii="Manrope Medium" w:hAnsi="Manrope Medium"/>
        </w:rPr>
        <w:t>: Outreach to wealth managers, DAOs, family offices, and treasuries.</w:t>
      </w:r>
    </w:p>
    <w:p>
      <w:pPr>
        <w:pStyle w:val="BodyText"/>
        <w:numPr>
          <w:ilvl w:val="0"/>
          <w:numId w:val="14"/>
        </w:numPr>
        <w:tabs>
          <w:tab w:val="left" w:pos="709" w:leader="none"/>
        </w:tabs>
        <w:bidi w:val="0"/>
        <w:ind w:hanging="283" w:start="709"/>
        <w:jc w:val="both"/>
        <w:rPr/>
      </w:pPr>
      <w:r>
        <w:rPr>
          <w:rStyle w:val="Strong"/>
          <w:rFonts w:ascii="Manrope Medium" w:hAnsi="Manrope Medium"/>
        </w:rPr>
        <w:t>Ecosystem grants</w:t>
      </w:r>
      <w:r>
        <w:rPr>
          <w:rFonts w:ascii="Manrope Medium" w:hAnsi="Manrope Medium"/>
        </w:rPr>
        <w:t>: For developers building QEURO-integrated products (e.g., wallets, cross-chain bridges, tax tools).</w:t>
      </w:r>
    </w:p>
    <w:p>
      <w:pPr>
        <w:pStyle w:val="BodyText"/>
        <w:numPr>
          <w:ilvl w:val="0"/>
          <w:numId w:val="14"/>
        </w:numPr>
        <w:tabs>
          <w:tab w:val="left" w:pos="709" w:leader="none"/>
        </w:tabs>
        <w:bidi w:val="0"/>
        <w:ind w:hanging="283" w:start="709"/>
        <w:jc w:val="both"/>
        <w:rPr/>
      </w:pPr>
      <w:r>
        <w:rPr>
          <w:rStyle w:val="Strong"/>
          <w:rFonts w:ascii="Manrope Medium" w:hAnsi="Manrope Medium"/>
        </w:rPr>
        <w:t>Educational content</w:t>
      </w:r>
      <w:r>
        <w:rPr>
          <w:rFonts w:ascii="Manrope Medium" w:hAnsi="Manrope Medium"/>
        </w:rPr>
        <w:t>: Financial literacy campaigns focused on DeFi yields, euro-denominated finance, and MiCA.</w:t>
      </w:r>
    </w:p>
    <w:p>
      <w:pPr>
        <w:pStyle w:val="BodyText"/>
        <w:bidi w:val="0"/>
        <w:jc w:val="both"/>
        <w:rPr>
          <w:rFonts w:ascii="Manrope Medium" w:hAnsi="Manrope Medium"/>
        </w:rPr>
      </w:pPr>
      <w:r>
        <w:rPr>
          <w:rFonts w:ascii="Manrope Medium" w:hAnsi="Manrope Medium"/>
        </w:rPr>
        <w:t>Quantillon is not merely launching a product—it is fostering a movement. The roadmap emphasizes responsible growth, composability, and transparency to establish QEURO as the euro-native financial layer of Web3.</w:t>
      </w:r>
    </w:p>
    <w:p>
      <w:pPr>
        <w:pStyle w:val="Normal"/>
        <w:bidi w:val="0"/>
        <w:jc w:val="both"/>
        <w:rPr>
          <w:rFonts w:ascii="Manrope Medium" w:hAnsi="Manrope Medium"/>
        </w:rPr>
      </w:pPr>
      <w:r>
        <w:rPr>
          <w:rFonts w:ascii="Manrope Medium" w:hAnsi="Manrope Medium"/>
        </w:rPr>
      </w:r>
      <w:r>
        <w:br w:type="page"/>
      </w:r>
    </w:p>
    <w:p>
      <w:pPr>
        <w:pStyle w:val="Heading2"/>
        <w:bidi w:val="0"/>
        <w:spacing w:before="0" w:after="120"/>
        <w:jc w:val="both"/>
        <w:rPr>
          <w:rFonts w:ascii="Manrope Medium" w:hAnsi="Manrope Medium"/>
        </w:rPr>
      </w:pPr>
      <w:bookmarkStart w:id="54" w:name="__RefHeading___Toc489_1632554855"/>
      <w:bookmarkEnd w:id="54"/>
      <w:r>
        <w:rPr>
          <w:rFonts w:ascii="Manrope Medium" w:hAnsi="Manrope Medium"/>
        </w:rPr>
        <w:t>9. Team &amp; Operational Structure</w:t>
      </w:r>
    </w:p>
    <w:p>
      <w:pPr>
        <w:pStyle w:val="BodyText"/>
        <w:bidi w:val="0"/>
        <w:spacing w:before="0" w:after="120"/>
        <w:jc w:val="both"/>
        <w:rPr>
          <w:rFonts w:ascii="Manrope Medium" w:hAnsi="Manrope Medium"/>
        </w:rPr>
      </w:pPr>
      <w:r>
        <w:rPr>
          <w:rFonts w:ascii="Manrope Medium" w:hAnsi="Manrope Medium"/>
        </w:rPr>
      </w:r>
    </w:p>
    <w:p>
      <w:pPr>
        <w:pStyle w:val="BodyText"/>
        <w:bidi w:val="0"/>
        <w:jc w:val="both"/>
        <w:rPr>
          <w:rFonts w:ascii="Manrope Medium" w:hAnsi="Manrope Medium"/>
        </w:rPr>
      </w:pPr>
      <w:r>
        <w:rPr>
          <w:rFonts w:ascii="Manrope Medium" w:hAnsi="Manrope Medium"/>
        </w:rPr>
        <w:t>Quantillon is driven by a multidisciplinary team combining decades of experience in software engineering, decentralized finance, macroeconomics, and digital asset management. The organizational design reflects the layered responsibilities of protocol development, governance stewardship, and institutional interfacing.</w:t>
      </w:r>
    </w:p>
    <w:p>
      <w:pPr>
        <w:pStyle w:val="BodyText"/>
        <w:bidi w:val="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55" w:name="__RefHeading___Toc491_1632554855"/>
      <w:bookmarkEnd w:id="55"/>
      <w:r>
        <w:rPr>
          <w:rFonts w:ascii="Manrope Medium" w:hAnsi="Manrope Medium"/>
        </w:rPr>
        <w:t>9.1 Founding Team</w:t>
      </w:r>
    </w:p>
    <w:p>
      <w:pPr>
        <w:pStyle w:val="BodyText"/>
        <w:bidi w:val="0"/>
        <w:jc w:val="both"/>
        <w:rPr/>
      </w:pPr>
      <w:r>
        <w:rPr>
          <w:rStyle w:val="Strong"/>
          <w:rFonts w:ascii="Manrope Medium" w:hAnsi="Manrope Medium"/>
        </w:rPr>
        <w:t>Toni Cantarutti – CEO</w:t>
      </w:r>
      <w:r>
        <w:rPr>
          <w:rFonts w:ascii="Manrope Medium" w:hAnsi="Manrope Medium"/>
        </w:rPr>
        <w:t xml:space="preserve"> Toni brings over 15 years of experience as a software architect specializing in core C++ and system-level development. His career spans R&amp;D roles at Intuisphere, Orange Labs, and Thermo Fisher Scientific. He is the founder of Benarius, a CeFi euro-yield platform, which laid the groundwork for Quantillon. Toni leads protocol design, team coordination, and strategic vision.</w:t>
      </w:r>
    </w:p>
    <w:p>
      <w:pPr>
        <w:pStyle w:val="BodyText"/>
        <w:bidi w:val="0"/>
        <w:jc w:val="both"/>
        <w:rPr/>
      </w:pPr>
      <w:r>
        <w:rPr>
          <w:rStyle w:val="Strong"/>
          <w:rFonts w:ascii="Manrope Medium" w:hAnsi="Manrope Medium"/>
        </w:rPr>
        <w:t>Nicolas Bellengé – CTO</w:t>
      </w:r>
      <w:r>
        <w:rPr>
          <w:rFonts w:ascii="Manrope Medium" w:hAnsi="Manrope Medium"/>
        </w:rPr>
        <w:t xml:space="preserve"> With 20 years of experience in software engineering and project leadership, Nicolas is an expert in Web2/Web3 stack integration. He is the CEO of NBTC SAS, a company focused on the acquisition, resale, and management of crypto assets. At Quantillon, Nicolas oversees the smart contract infrastructure, full-stack development, and cybersecurity framework.</w:t>
      </w:r>
    </w:p>
    <w:p>
      <w:pPr>
        <w:pStyle w:val="BodyText"/>
        <w:bidi w:val="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56" w:name="__RefHeading___Toc493_1632554855"/>
      <w:bookmarkEnd w:id="56"/>
      <w:r>
        <w:rPr>
          <w:rFonts w:ascii="Manrope Medium" w:hAnsi="Manrope Medium"/>
        </w:rPr>
        <w:t>9.2 Core Development &amp; Product Team</w:t>
      </w:r>
    </w:p>
    <w:p>
      <w:pPr>
        <w:pStyle w:val="BodyText"/>
        <w:bidi w:val="0"/>
        <w:jc w:val="both"/>
        <w:rPr>
          <w:rFonts w:ascii="Manrope Medium" w:hAnsi="Manrope Medium"/>
        </w:rPr>
      </w:pPr>
      <w:r>
        <w:rPr>
          <w:rFonts w:ascii="Manrope Medium" w:hAnsi="Manrope Medium"/>
        </w:rPr>
        <w:t>Quantillon's core team includes two full-stack blockchain developers specializing in Solidity, DeFi integrations, and protocol-level testing. The product division includes a UX/UI designer and a communications strategist responsible for user onboarding, documentation, and market engagement.</w:t>
      </w:r>
    </w:p>
    <w:p>
      <w:pPr>
        <w:pStyle w:val="BodyText"/>
        <w:bidi w:val="0"/>
        <w:jc w:val="both"/>
        <w:rPr>
          <w:rFonts w:ascii="Manrope Medium" w:hAnsi="Manrope Medium"/>
        </w:rPr>
      </w:pPr>
      <w:r>
        <w:rPr>
          <w:rFonts w:ascii="Manrope Medium" w:hAnsi="Manrope Medium"/>
        </w:rPr>
        <w:t>This lean structure ensures rapid iteration while maintaining rigorous technical standards. Team roles are documented on-chain for transparency and incentivized through long-term vesting in $QTI tokens.</w:t>
      </w:r>
    </w:p>
    <w:p>
      <w:pPr>
        <w:pStyle w:val="BodyText"/>
        <w:bidi w:val="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57" w:name="__RefHeading___Toc495_1632554855"/>
      <w:bookmarkEnd w:id="57"/>
      <w:r>
        <w:rPr>
          <w:rFonts w:ascii="Manrope Medium" w:hAnsi="Manrope Medium"/>
        </w:rPr>
        <w:t>9.3 Organizational Entities</w:t>
      </w:r>
    </w:p>
    <w:p>
      <w:pPr>
        <w:pStyle w:val="BodyText"/>
        <w:bidi w:val="0"/>
        <w:jc w:val="both"/>
        <w:rPr>
          <w:rFonts w:ascii="Manrope Medium" w:hAnsi="Manrope Medium"/>
        </w:rPr>
      </w:pPr>
      <w:r>
        <w:rPr>
          <w:rFonts w:ascii="Manrope Medium" w:hAnsi="Manrope Medium"/>
        </w:rPr>
        <w:t>To manage legal exposure, regulatory dialogue, and decentralized operations, Quantillon is structured into three synergistic entities:</w:t>
      </w:r>
    </w:p>
    <w:p>
      <w:pPr>
        <w:pStyle w:val="BodyText"/>
        <w:numPr>
          <w:ilvl w:val="0"/>
          <w:numId w:val="15"/>
        </w:numPr>
        <w:tabs>
          <w:tab w:val="left" w:pos="709" w:leader="none"/>
        </w:tabs>
        <w:bidi w:val="0"/>
        <w:ind w:hanging="283" w:start="709"/>
        <w:jc w:val="both"/>
        <w:rPr/>
      </w:pPr>
      <w:r>
        <w:rPr>
          <w:rStyle w:val="Strong"/>
          <w:rFonts w:ascii="Manrope Medium" w:hAnsi="Manrope Medium"/>
        </w:rPr>
        <w:t>Quantillon Protocol</w:t>
      </w:r>
      <w:r>
        <w:rPr>
          <w:rFonts w:ascii="Manrope Medium" w:hAnsi="Manrope Medium"/>
        </w:rPr>
        <w:t xml:space="preserve"> (on-chain): Fully decentralized smart contracts governed by $QTI holders. Responsible for minting, vault logic, hedging infrastructure, and governance proposals.</w:t>
      </w:r>
    </w:p>
    <w:p>
      <w:pPr>
        <w:pStyle w:val="BodyText"/>
        <w:numPr>
          <w:ilvl w:val="0"/>
          <w:numId w:val="15"/>
        </w:numPr>
        <w:tabs>
          <w:tab w:val="left" w:pos="709" w:leader="none"/>
        </w:tabs>
        <w:bidi w:val="0"/>
        <w:ind w:hanging="283" w:start="709"/>
        <w:jc w:val="both"/>
        <w:rPr/>
      </w:pPr>
      <w:r>
        <w:rPr>
          <w:rStyle w:val="Strong"/>
          <w:rFonts w:ascii="Manrope Medium" w:hAnsi="Manrope Medium"/>
        </w:rPr>
        <w:t>Quantillon Labs</w:t>
      </w:r>
      <w:r>
        <w:rPr>
          <w:rFonts w:ascii="Manrope Medium" w:hAnsi="Manrope Medium"/>
        </w:rPr>
        <w:t xml:space="preserve"> (development): A legal entity responsible for developing and launching the protocol. Initially acts as a liquidity provider and hedger, remunerated by the protocol. Labs ensures code security, DevOps, and integrations.</w:t>
      </w:r>
    </w:p>
    <w:p>
      <w:pPr>
        <w:pStyle w:val="BodyText"/>
        <w:numPr>
          <w:ilvl w:val="0"/>
          <w:numId w:val="15"/>
        </w:numPr>
        <w:tabs>
          <w:tab w:val="left" w:pos="709" w:leader="none"/>
        </w:tabs>
        <w:bidi w:val="0"/>
        <w:ind w:hanging="283" w:start="709"/>
        <w:jc w:val="both"/>
        <w:rPr/>
      </w:pPr>
      <w:r>
        <w:rPr>
          <w:rStyle w:val="Strong"/>
          <w:rFonts w:ascii="Manrope Medium" w:hAnsi="Manrope Medium"/>
        </w:rPr>
        <w:t>Quantillon Foundation</w:t>
      </w:r>
      <w:r>
        <w:rPr>
          <w:rFonts w:ascii="Manrope Medium" w:hAnsi="Manrope Medium"/>
        </w:rPr>
        <w:t xml:space="preserve"> (compliance): A non-profit Swiss-style foundation that interfaces with regulators, auditors, and legal stakeholders. It safeguards multisig access, publishes disclosures, and facilitates DAO transitions.</w:t>
      </w:r>
    </w:p>
    <w:p>
      <w:pPr>
        <w:pStyle w:val="BodyText"/>
        <w:bidi w:val="0"/>
        <w:jc w:val="both"/>
        <w:rPr>
          <w:rFonts w:ascii="Manrope Medium" w:hAnsi="Manrope Medium"/>
        </w:rPr>
      </w:pPr>
      <w:r>
        <w:rPr>
          <w:rFonts w:ascii="Manrope Medium" w:hAnsi="Manrope Medium"/>
        </w:rPr>
        <w:t>This tripartite model preserves decentralization while ensuring institutional credibility and legal defensibility—especially relevant under MiCA’s evolving guidance.</w:t>
      </w:r>
    </w:p>
    <w:p>
      <w:pPr>
        <w:pStyle w:val="BodyText"/>
        <w:bidi w:val="0"/>
        <w:jc w:val="both"/>
        <w:rPr>
          <w:rFonts w:ascii="Manrope Medium" w:hAnsi="Manrope Medium"/>
        </w:rPr>
      </w:pPr>
      <w:r>
        <w:rPr>
          <w:rFonts w:ascii="Manrope Medium" w:hAnsi="Manrope Medium"/>
        </w:rPr>
        <w:t>Quantillon’s human capital strategy focuses on high-leverage contributors, external auditors, and community-aligned governance. The team is well-positioned to evolve into a DAO-governed protocol with scalable institutional interfaces.</w:t>
      </w:r>
    </w:p>
    <w:p>
      <w:pPr>
        <w:pStyle w:val="Normal"/>
        <w:bidi w:val="0"/>
        <w:jc w:val="both"/>
        <w:rPr>
          <w:rFonts w:ascii="Manrope Medium" w:hAnsi="Manrope Medium"/>
        </w:rPr>
      </w:pPr>
      <w:r>
        <w:rPr>
          <w:rFonts w:ascii="Manrope Medium" w:hAnsi="Manrope Medium"/>
        </w:rPr>
      </w:r>
      <w:r>
        <w:br w:type="page"/>
      </w:r>
    </w:p>
    <w:p>
      <w:pPr>
        <w:pStyle w:val="Heading2"/>
        <w:bidi w:val="0"/>
        <w:spacing w:before="0" w:after="120"/>
        <w:jc w:val="both"/>
        <w:rPr>
          <w:rFonts w:ascii="Manrope Medium" w:hAnsi="Manrope Medium"/>
        </w:rPr>
      </w:pPr>
      <w:bookmarkStart w:id="58" w:name="__RefHeading___Toc497_1632554855"/>
      <w:bookmarkEnd w:id="58"/>
      <w:r>
        <w:rPr>
          <w:rFonts w:ascii="Manrope Medium" w:hAnsi="Manrope Medium"/>
        </w:rPr>
        <w:t>10. Appendices Techniques</w:t>
      </w:r>
    </w:p>
    <w:p>
      <w:pPr>
        <w:pStyle w:val="BodyText"/>
        <w:bidi w:val="0"/>
        <w:spacing w:before="0" w:after="12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59" w:name="__RefHeading___Toc499_1632554855"/>
      <w:bookmarkEnd w:id="59"/>
      <w:r>
        <w:rPr>
          <w:rFonts w:ascii="Manrope Medium" w:hAnsi="Manrope Medium"/>
        </w:rPr>
        <w:t>10.1 Smart Contract Architecture</w:t>
      </w:r>
    </w:p>
    <w:p>
      <w:pPr>
        <w:pStyle w:val="BodyText"/>
        <w:bidi w:val="0"/>
        <w:jc w:val="both"/>
        <w:rPr>
          <w:rFonts w:ascii="Manrope Medium" w:hAnsi="Manrope Medium"/>
        </w:rPr>
      </w:pPr>
      <w:r>
        <w:rPr>
          <w:rFonts w:ascii="Manrope Medium" w:hAnsi="Manrope Medium"/>
        </w:rPr>
        <w:t>Quantillon’s codebase is structured around a modular Solidity framework, designed for upgradability, auditability, and composability. Core contracts include:</w:t>
      </w:r>
    </w:p>
    <w:p>
      <w:pPr>
        <w:pStyle w:val="BodyText"/>
        <w:numPr>
          <w:ilvl w:val="0"/>
          <w:numId w:val="16"/>
        </w:numPr>
        <w:tabs>
          <w:tab w:val="left" w:pos="709" w:leader="none"/>
        </w:tabs>
        <w:bidi w:val="0"/>
        <w:ind w:hanging="283" w:start="709"/>
        <w:jc w:val="both"/>
        <w:rPr/>
      </w:pPr>
      <w:r>
        <w:rPr>
          <w:rStyle w:val="Strong"/>
          <w:rFonts w:ascii="Manrope Medium" w:hAnsi="Manrope Medium"/>
        </w:rPr>
        <w:t>MintManager:</w:t>
      </w:r>
      <w:r>
        <w:rPr>
          <w:rFonts w:ascii="Manrope Medium" w:hAnsi="Manrope Medium"/>
        </w:rPr>
        <w:t xml:space="preserve"> Handles the conversion of ERC20 assets to QEURO at oracle rates, manages collateral routing.</w:t>
      </w:r>
    </w:p>
    <w:p>
      <w:pPr>
        <w:pStyle w:val="BodyText"/>
        <w:numPr>
          <w:ilvl w:val="0"/>
          <w:numId w:val="16"/>
        </w:numPr>
        <w:tabs>
          <w:tab w:val="left" w:pos="709" w:leader="none"/>
        </w:tabs>
        <w:bidi w:val="0"/>
        <w:ind w:hanging="283" w:start="709"/>
        <w:jc w:val="both"/>
        <w:rPr/>
      </w:pPr>
      <w:r>
        <w:rPr>
          <w:rStyle w:val="Strong"/>
          <w:rFonts w:ascii="Manrope Medium" w:hAnsi="Manrope Medium"/>
        </w:rPr>
        <w:t>VaultEngine:</w:t>
      </w:r>
      <w:r>
        <w:rPr>
          <w:rFonts w:ascii="Manrope Medium" w:hAnsi="Manrope Medium"/>
        </w:rPr>
        <w:t xml:space="preserve"> Oversees collateral deposits, DeFi deployment, liquidation triggers, and hedger margins.</w:t>
      </w:r>
    </w:p>
    <w:p>
      <w:pPr>
        <w:pStyle w:val="BodyText"/>
        <w:numPr>
          <w:ilvl w:val="0"/>
          <w:numId w:val="16"/>
        </w:numPr>
        <w:tabs>
          <w:tab w:val="left" w:pos="709" w:leader="none"/>
        </w:tabs>
        <w:bidi w:val="0"/>
        <w:ind w:hanging="283" w:start="709"/>
        <w:jc w:val="both"/>
        <w:rPr/>
      </w:pPr>
      <w:r>
        <w:rPr>
          <w:rStyle w:val="Strong"/>
          <w:rFonts w:ascii="Manrope Medium" w:hAnsi="Manrope Medium"/>
        </w:rPr>
        <w:t>YieldController:</w:t>
      </w:r>
      <w:r>
        <w:rPr>
          <w:rFonts w:ascii="Manrope Medium" w:hAnsi="Manrope Medium"/>
        </w:rPr>
        <w:t xml:space="preserve"> Applies yield share logic, calculates Yield Shift, and manages protocol fees.</w:t>
      </w:r>
    </w:p>
    <w:p>
      <w:pPr>
        <w:pStyle w:val="BodyText"/>
        <w:numPr>
          <w:ilvl w:val="0"/>
          <w:numId w:val="16"/>
        </w:numPr>
        <w:tabs>
          <w:tab w:val="left" w:pos="709" w:leader="none"/>
        </w:tabs>
        <w:bidi w:val="0"/>
        <w:ind w:hanging="283" w:start="709"/>
        <w:jc w:val="both"/>
        <w:rPr/>
      </w:pPr>
      <w:r>
        <w:rPr>
          <w:rStyle w:val="Strong"/>
          <w:rFonts w:ascii="Manrope Medium" w:hAnsi="Manrope Medium"/>
        </w:rPr>
        <w:t>GovernanceModule:</w:t>
      </w:r>
      <w:r>
        <w:rPr>
          <w:rFonts w:ascii="Manrope Medium" w:hAnsi="Manrope Medium"/>
        </w:rPr>
        <w:t xml:space="preserve"> Administers voting logic, fee toggles, and whitelisting of new vaults or oracle feeds.</w:t>
      </w:r>
    </w:p>
    <w:p>
      <w:pPr>
        <w:pStyle w:val="BodyText"/>
        <w:bidi w:val="0"/>
        <w:jc w:val="both"/>
        <w:rPr>
          <w:rFonts w:ascii="Manrope Medium" w:hAnsi="Manrope Medium"/>
        </w:rPr>
      </w:pPr>
      <w:r>
        <w:rPr>
          <w:rFonts w:ascii="Manrope Medium" w:hAnsi="Manrope Medium"/>
        </w:rPr>
        <w:t>All contracts are non-custodial, with critical functions gated through governance time-locks. Emergency pause mechanisms are included.</w:t>
      </w:r>
    </w:p>
    <w:p>
      <w:pPr>
        <w:pStyle w:val="BodyText"/>
        <w:bidi w:val="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60" w:name="__RefHeading___Toc501_1632554855"/>
      <w:bookmarkEnd w:id="60"/>
      <w:r>
        <w:rPr>
          <w:rFonts w:ascii="Manrope Medium" w:hAnsi="Manrope Medium"/>
        </w:rPr>
        <w:t>10.2 Oracle and Pricing Infrastructure</w:t>
      </w:r>
    </w:p>
    <w:p>
      <w:pPr>
        <w:pStyle w:val="BodyText"/>
        <w:bidi w:val="0"/>
        <w:jc w:val="both"/>
        <w:rPr>
          <w:rFonts w:ascii="Manrope Medium" w:hAnsi="Manrope Medium"/>
        </w:rPr>
      </w:pPr>
      <w:r>
        <w:rPr>
          <w:rFonts w:ascii="Manrope Medium" w:hAnsi="Manrope Medium"/>
        </w:rPr>
        <w:t>The protocol relies on Chainlink as its primary data oracle, with fallback nodes under Quantillon Labs. Oracle feeds are used for:</w:t>
      </w:r>
    </w:p>
    <w:p>
      <w:pPr>
        <w:pStyle w:val="BodyText"/>
        <w:numPr>
          <w:ilvl w:val="0"/>
          <w:numId w:val="17"/>
        </w:numPr>
        <w:tabs>
          <w:tab w:val="left" w:pos="709" w:leader="none"/>
        </w:tabs>
        <w:bidi w:val="0"/>
        <w:ind w:hanging="283" w:start="709"/>
        <w:jc w:val="both"/>
        <w:rPr>
          <w:rFonts w:ascii="Manrope Medium" w:hAnsi="Manrope Medium"/>
        </w:rPr>
      </w:pPr>
      <w:r>
        <w:rPr>
          <w:rFonts w:ascii="Manrope Medium" w:hAnsi="Manrope Medium"/>
        </w:rPr>
        <w:t>EUR/USD spot rates</w:t>
      </w:r>
    </w:p>
    <w:p>
      <w:pPr>
        <w:pStyle w:val="BodyText"/>
        <w:numPr>
          <w:ilvl w:val="0"/>
          <w:numId w:val="17"/>
        </w:numPr>
        <w:tabs>
          <w:tab w:val="left" w:pos="709" w:leader="none"/>
        </w:tabs>
        <w:bidi w:val="0"/>
        <w:ind w:hanging="283" w:start="709"/>
        <w:jc w:val="both"/>
        <w:rPr>
          <w:rFonts w:ascii="Manrope Medium" w:hAnsi="Manrope Medium"/>
        </w:rPr>
      </w:pPr>
      <w:r>
        <w:rPr>
          <w:rFonts w:ascii="Manrope Medium" w:hAnsi="Manrope Medium"/>
        </w:rPr>
        <w:t>USDC price stability checks</w:t>
      </w:r>
    </w:p>
    <w:p>
      <w:pPr>
        <w:pStyle w:val="BodyText"/>
        <w:numPr>
          <w:ilvl w:val="0"/>
          <w:numId w:val="17"/>
        </w:numPr>
        <w:tabs>
          <w:tab w:val="left" w:pos="709" w:leader="none"/>
        </w:tabs>
        <w:bidi w:val="0"/>
        <w:ind w:hanging="283" w:start="709"/>
        <w:jc w:val="both"/>
        <w:rPr>
          <w:rFonts w:ascii="Manrope Medium" w:hAnsi="Manrope Medium"/>
        </w:rPr>
      </w:pPr>
      <w:r>
        <w:rPr>
          <w:rFonts w:ascii="Manrope Medium" w:hAnsi="Manrope Medium"/>
        </w:rPr>
        <w:t>On-chain collateral valuation (Aave, Maker)</w:t>
      </w:r>
    </w:p>
    <w:p>
      <w:pPr>
        <w:pStyle w:val="BodyText"/>
        <w:bidi w:val="0"/>
        <w:jc w:val="both"/>
        <w:rPr>
          <w:rFonts w:ascii="Manrope Medium" w:hAnsi="Manrope Medium"/>
        </w:rPr>
      </w:pPr>
      <w:r>
        <w:rPr>
          <w:rFonts w:ascii="Manrope Medium" w:hAnsi="Manrope Medium"/>
        </w:rPr>
        <w:t>A three-tier logic is applied:</w:t>
      </w:r>
    </w:p>
    <w:p>
      <w:pPr>
        <w:pStyle w:val="BodyText"/>
        <w:numPr>
          <w:ilvl w:val="0"/>
          <w:numId w:val="18"/>
        </w:numPr>
        <w:tabs>
          <w:tab w:val="left" w:pos="709" w:leader="none"/>
        </w:tabs>
        <w:bidi w:val="0"/>
        <w:ind w:hanging="283" w:start="709"/>
        <w:jc w:val="both"/>
        <w:rPr/>
      </w:pPr>
      <w:r>
        <w:rPr>
          <w:rStyle w:val="Strong"/>
          <w:rFonts w:ascii="Manrope Medium" w:hAnsi="Manrope Medium"/>
        </w:rPr>
        <w:t>Medianized price feeds</w:t>
      </w:r>
      <w:r>
        <w:rPr>
          <w:rFonts w:ascii="Manrope Medium" w:hAnsi="Manrope Medium"/>
        </w:rPr>
        <w:t xml:space="preserve"> across multiple sources</w:t>
      </w:r>
    </w:p>
    <w:p>
      <w:pPr>
        <w:pStyle w:val="BodyText"/>
        <w:numPr>
          <w:ilvl w:val="0"/>
          <w:numId w:val="18"/>
        </w:numPr>
        <w:tabs>
          <w:tab w:val="left" w:pos="709" w:leader="none"/>
        </w:tabs>
        <w:bidi w:val="0"/>
        <w:ind w:hanging="283" w:start="709"/>
        <w:jc w:val="both"/>
        <w:rPr/>
      </w:pPr>
      <w:r>
        <w:rPr>
          <w:rStyle w:val="Strong"/>
          <w:rFonts w:ascii="Manrope Medium" w:hAnsi="Manrope Medium"/>
        </w:rPr>
        <w:t>Heartbeat and deviation checks</w:t>
      </w:r>
      <w:r>
        <w:rPr>
          <w:rFonts w:ascii="Manrope Medium" w:hAnsi="Manrope Medium"/>
        </w:rPr>
        <w:t xml:space="preserve"> to detect anomalies</w:t>
      </w:r>
    </w:p>
    <w:p>
      <w:pPr>
        <w:pStyle w:val="BodyText"/>
        <w:numPr>
          <w:ilvl w:val="0"/>
          <w:numId w:val="18"/>
        </w:numPr>
        <w:tabs>
          <w:tab w:val="left" w:pos="709" w:leader="none"/>
        </w:tabs>
        <w:bidi w:val="0"/>
        <w:ind w:hanging="283" w:start="709"/>
        <w:jc w:val="both"/>
        <w:rPr/>
      </w:pPr>
      <w:r>
        <w:rPr>
          <w:rStyle w:val="Strong"/>
          <w:rFonts w:ascii="Manrope Medium" w:hAnsi="Manrope Medium"/>
        </w:rPr>
        <w:t>Fallback escalation</w:t>
      </w:r>
      <w:r>
        <w:rPr>
          <w:rFonts w:ascii="Manrope Medium" w:hAnsi="Manrope Medium"/>
        </w:rPr>
        <w:t xml:space="preserve"> using governance-mandated oracles</w:t>
      </w:r>
    </w:p>
    <w:p>
      <w:pPr>
        <w:pStyle w:val="BodyText"/>
        <w:bidi w:val="0"/>
        <w:jc w:val="both"/>
        <w:rPr>
          <w:rFonts w:ascii="Manrope Medium" w:hAnsi="Manrope Medium"/>
        </w:rPr>
      </w:pPr>
      <w:r>
        <w:rPr>
          <w:rFonts w:ascii="Manrope Medium" w:hAnsi="Manrope Medium"/>
        </w:rPr>
        <w:t>This ensures robust resistance to manipulation or downtime.</w:t>
      </w:r>
    </w:p>
    <w:p>
      <w:pPr>
        <w:pStyle w:val="BodyText"/>
        <w:bidi w:val="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61" w:name="__RefHeading___Toc503_1632554855"/>
      <w:bookmarkEnd w:id="61"/>
      <w:r>
        <w:rPr>
          <w:rFonts w:ascii="Manrope Medium" w:hAnsi="Manrope Medium"/>
        </w:rPr>
        <w:t>10.3 Yield Shift Formula</w:t>
      </w:r>
    </w:p>
    <w:p>
      <w:pPr>
        <w:pStyle w:val="BodyText"/>
        <w:bidi w:val="0"/>
        <w:jc w:val="both"/>
        <w:rPr>
          <w:rFonts w:ascii="Manrope Medium" w:hAnsi="Manrope Medium"/>
        </w:rPr>
      </w:pPr>
      <w:r>
        <w:rPr>
          <w:rFonts w:ascii="Manrope Medium" w:hAnsi="Manrope Medium"/>
        </w:rPr>
        <w:t>The dynamic yield redistribution follows a parametric curve governed by the ratio of hedger supply to QEURO demand.</w:t>
      </w:r>
    </w:p>
    <w:p>
      <w:pPr>
        <w:pStyle w:val="BodyText"/>
        <w:bidi w:val="0"/>
        <w:jc w:val="both"/>
        <w:rPr>
          <w:rFonts w:ascii="Manrope Medium" w:hAnsi="Manrope Medium"/>
        </w:rPr>
      </w:pPr>
      <w:r>
        <w:rPr>
          <w:rFonts w:ascii="Manrope Medium" w:hAnsi="Manrope Medium"/>
        </w:rPr>
        <w:t>Let:</w:t>
      </w:r>
    </w:p>
    <w:p>
      <w:pPr>
        <w:pStyle w:val="BodyText"/>
        <w:numPr>
          <w:ilvl w:val="0"/>
          <w:numId w:val="19"/>
        </w:numPr>
        <w:tabs>
          <w:tab w:val="left" w:pos="709" w:leader="none"/>
        </w:tabs>
        <w:bidi w:val="0"/>
        <w:ind w:hanging="283" w:start="709"/>
        <w:jc w:val="both"/>
        <w:rPr/>
      </w:pPr>
      <w:r>
        <w:rPr>
          <w:rStyle w:val="Strong"/>
          <w:rFonts w:ascii="Manrope Medium" w:hAnsi="Manrope Medium"/>
        </w:rPr>
        <w:t>R</w:t>
      </w:r>
      <w:r>
        <w:rPr>
          <w:rFonts w:ascii="Manrope Medium" w:hAnsi="Manrope Medium"/>
        </w:rPr>
        <w:t xml:space="preserve"> = net available yield from collateral</w:t>
      </w:r>
    </w:p>
    <w:p>
      <w:pPr>
        <w:pStyle w:val="BodyText"/>
        <w:numPr>
          <w:ilvl w:val="0"/>
          <w:numId w:val="19"/>
        </w:numPr>
        <w:tabs>
          <w:tab w:val="left" w:pos="709" w:leader="none"/>
        </w:tabs>
        <w:bidi w:val="0"/>
        <w:ind w:hanging="283" w:start="709"/>
        <w:jc w:val="both"/>
        <w:rPr/>
      </w:pPr>
      <w:r>
        <w:rPr>
          <w:rStyle w:val="Strong"/>
          <w:rFonts w:ascii="Manrope Medium" w:hAnsi="Manrope Medium"/>
        </w:rPr>
        <w:t>H</w:t>
      </w:r>
      <w:r>
        <w:rPr>
          <w:rFonts w:ascii="Manrope Medium" w:hAnsi="Manrope Medium"/>
        </w:rPr>
        <w:t xml:space="preserve"> = % of target hedger pool filled</w:t>
      </w:r>
    </w:p>
    <w:p>
      <w:pPr>
        <w:pStyle w:val="BodyText"/>
        <w:numPr>
          <w:ilvl w:val="0"/>
          <w:numId w:val="19"/>
        </w:numPr>
        <w:tabs>
          <w:tab w:val="left" w:pos="709" w:leader="none"/>
        </w:tabs>
        <w:bidi w:val="0"/>
        <w:ind w:hanging="283" w:start="709"/>
        <w:jc w:val="both"/>
        <w:rPr/>
      </w:pPr>
      <w:r>
        <w:rPr>
          <w:rStyle w:val="Strong"/>
          <w:rFonts w:ascii="Manrope Medium" w:hAnsi="Manrope Medium"/>
        </w:rPr>
        <w:t>Yh</w:t>
      </w:r>
      <w:r>
        <w:rPr>
          <w:rFonts w:ascii="Manrope Medium" w:hAnsi="Manrope Medium"/>
        </w:rPr>
        <w:t xml:space="preserve"> = yield allocated to hedgers</w:t>
      </w:r>
    </w:p>
    <w:p>
      <w:pPr>
        <w:pStyle w:val="BodyText"/>
        <w:numPr>
          <w:ilvl w:val="0"/>
          <w:numId w:val="19"/>
        </w:numPr>
        <w:tabs>
          <w:tab w:val="left" w:pos="709" w:leader="none"/>
        </w:tabs>
        <w:bidi w:val="0"/>
        <w:ind w:hanging="283" w:start="709"/>
        <w:jc w:val="both"/>
        <w:rPr/>
      </w:pPr>
      <w:r>
        <w:rPr>
          <w:rStyle w:val="Strong"/>
          <w:rFonts w:ascii="Manrope Medium" w:hAnsi="Manrope Medium"/>
        </w:rPr>
        <w:t>Yu</w:t>
      </w:r>
      <w:r>
        <w:rPr>
          <w:rFonts w:ascii="Manrope Medium" w:hAnsi="Manrope Medium"/>
        </w:rPr>
        <w:t xml:space="preserve"> = yield allocated to users</w:t>
      </w:r>
    </w:p>
    <w:p>
      <w:pPr>
        <w:pStyle w:val="BodyText"/>
        <w:bidi w:val="0"/>
        <w:jc w:val="both"/>
        <w:rPr>
          <w:rFonts w:ascii="Manrope Medium" w:hAnsi="Manrope Medium"/>
        </w:rPr>
      </w:pPr>
      <w:r>
        <w:rPr>
          <w:rFonts w:ascii="Manrope Medium" w:hAnsi="Manrope Medium"/>
        </w:rPr>
        <w:t>Then:</w:t>
      </w:r>
    </w:p>
    <w:p>
      <w:pPr>
        <w:pStyle w:val="BodyText"/>
        <w:numPr>
          <w:ilvl w:val="0"/>
          <w:numId w:val="20"/>
        </w:numPr>
        <w:tabs>
          <w:tab w:val="left" w:pos="709" w:leader="none"/>
        </w:tabs>
        <w:bidi w:val="0"/>
        <w:ind w:hanging="283" w:start="709"/>
        <w:jc w:val="both"/>
        <w:rPr/>
      </w:pPr>
      <w:r>
        <w:rPr>
          <w:rStyle w:val="Strong"/>
          <w:rFonts w:ascii="Manrope Medium" w:hAnsi="Manrope Medium"/>
        </w:rPr>
        <w:t>Yh = min(1%, R × H × α)</w:t>
      </w:r>
    </w:p>
    <w:p>
      <w:pPr>
        <w:pStyle w:val="BodyText"/>
        <w:numPr>
          <w:ilvl w:val="0"/>
          <w:numId w:val="20"/>
        </w:numPr>
        <w:tabs>
          <w:tab w:val="left" w:pos="709" w:leader="none"/>
        </w:tabs>
        <w:bidi w:val="0"/>
        <w:ind w:hanging="283" w:start="709"/>
        <w:jc w:val="both"/>
        <w:rPr/>
      </w:pPr>
      <w:r>
        <w:rPr>
          <w:rStyle w:val="Strong"/>
          <w:rFonts w:ascii="Manrope Medium" w:hAnsi="Manrope Medium"/>
        </w:rPr>
        <w:t>Yu = R − Yh − protocol fee (10%)</w:t>
      </w:r>
    </w:p>
    <w:p>
      <w:pPr>
        <w:pStyle w:val="BodyText"/>
        <w:bidi w:val="0"/>
        <w:jc w:val="both"/>
        <w:rPr>
          <w:rFonts w:ascii="Manrope Medium" w:hAnsi="Manrope Medium"/>
        </w:rPr>
      </w:pPr>
      <w:r>
        <w:rPr>
          <w:rFonts w:ascii="Manrope Medium" w:hAnsi="Manrope Medium"/>
        </w:rPr>
        <w:t>Where α is a governance-defined coefficient that tunes market incentives. This creates an implicit rebalancing of protocol incentives and peg resilience.</w:t>
      </w:r>
    </w:p>
    <w:p>
      <w:pPr>
        <w:pStyle w:val="BodyText"/>
        <w:bidi w:val="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62" w:name="__RefHeading___Toc505_1632554855"/>
      <w:bookmarkEnd w:id="62"/>
      <w:r>
        <w:rPr>
          <w:rFonts w:ascii="Manrope Medium" w:hAnsi="Manrope Medium"/>
        </w:rPr>
        <w:t>10.4 Value at Risk and Stress Testing</w:t>
      </w:r>
    </w:p>
    <w:p>
      <w:pPr>
        <w:pStyle w:val="BodyText"/>
        <w:bidi w:val="0"/>
        <w:jc w:val="both"/>
        <w:rPr>
          <w:rFonts w:ascii="Manrope Medium" w:hAnsi="Manrope Medium"/>
        </w:rPr>
      </w:pPr>
      <w:r>
        <w:rPr>
          <w:rFonts w:ascii="Manrope Medium" w:hAnsi="Manrope Medium"/>
        </w:rPr>
        <w:t>Quantillon incorporates continuous monitoring of its financial health using:</w:t>
      </w:r>
    </w:p>
    <w:p>
      <w:pPr>
        <w:pStyle w:val="BodyText"/>
        <w:numPr>
          <w:ilvl w:val="0"/>
          <w:numId w:val="21"/>
        </w:numPr>
        <w:tabs>
          <w:tab w:val="left" w:pos="709" w:leader="none"/>
        </w:tabs>
        <w:bidi w:val="0"/>
        <w:ind w:hanging="283" w:start="709"/>
        <w:jc w:val="both"/>
        <w:rPr/>
      </w:pPr>
      <w:r>
        <w:rPr>
          <w:rStyle w:val="Strong"/>
          <w:rFonts w:ascii="Manrope Medium" w:hAnsi="Manrope Medium"/>
        </w:rPr>
        <w:t>VaR (95%/99%)</w:t>
      </w:r>
      <w:r>
        <w:rPr>
          <w:rFonts w:ascii="Manrope Medium" w:hAnsi="Manrope Medium"/>
        </w:rPr>
        <w:t xml:space="preserve"> models on EUR/USD and TVL drawdowns</w:t>
      </w:r>
    </w:p>
    <w:p>
      <w:pPr>
        <w:pStyle w:val="BodyText"/>
        <w:numPr>
          <w:ilvl w:val="0"/>
          <w:numId w:val="21"/>
        </w:numPr>
        <w:tabs>
          <w:tab w:val="left" w:pos="709" w:leader="none"/>
        </w:tabs>
        <w:bidi w:val="0"/>
        <w:ind w:hanging="283" w:start="709"/>
        <w:jc w:val="both"/>
        <w:rPr/>
      </w:pPr>
      <w:r>
        <w:rPr>
          <w:rStyle w:val="Strong"/>
          <w:rFonts w:ascii="Manrope Medium" w:hAnsi="Manrope Medium"/>
        </w:rPr>
        <w:t>Stress tests</w:t>
      </w:r>
      <w:r>
        <w:rPr>
          <w:rFonts w:ascii="Manrope Medium" w:hAnsi="Manrope Medium"/>
        </w:rPr>
        <w:t xml:space="preserve"> assuming FX shock (+/- 10%), collateral yield drop to 0%, or Aave liquidity collapse</w:t>
      </w:r>
    </w:p>
    <w:p>
      <w:pPr>
        <w:pStyle w:val="BodyText"/>
        <w:numPr>
          <w:ilvl w:val="0"/>
          <w:numId w:val="21"/>
        </w:numPr>
        <w:tabs>
          <w:tab w:val="left" w:pos="709" w:leader="none"/>
        </w:tabs>
        <w:bidi w:val="0"/>
        <w:ind w:hanging="283" w:start="709"/>
        <w:jc w:val="both"/>
        <w:rPr/>
      </w:pPr>
      <w:r>
        <w:rPr>
          <w:rStyle w:val="Strong"/>
          <w:rFonts w:ascii="Manrope Medium" w:hAnsi="Manrope Medium"/>
        </w:rPr>
        <w:t>Daily simulations</w:t>
      </w:r>
      <w:r>
        <w:rPr>
          <w:rFonts w:ascii="Manrope Medium" w:hAnsi="Manrope Medium"/>
        </w:rPr>
        <w:t xml:space="preserve"> to validate liquidation thresholds and hedger margin adequacy</w:t>
      </w:r>
    </w:p>
    <w:p>
      <w:pPr>
        <w:pStyle w:val="BodyText"/>
        <w:bidi w:val="0"/>
        <w:jc w:val="both"/>
        <w:rPr>
          <w:rFonts w:ascii="Manrope Medium" w:hAnsi="Manrope Medium"/>
        </w:rPr>
      </w:pPr>
      <w:r>
        <w:rPr>
          <w:rFonts w:ascii="Manrope Medium" w:hAnsi="Manrope Medium"/>
        </w:rPr>
        <w:t>Results are logged on-chain and reviewed by both internal risk modules and external auditors. Public dashboards will visualize these metrics post-launch.</w:t>
      </w:r>
    </w:p>
    <w:p>
      <w:pPr>
        <w:pStyle w:val="BodyText"/>
        <w:bidi w:val="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63" w:name="__RefHeading___Toc507_1632554855"/>
      <w:bookmarkEnd w:id="63"/>
      <w:r>
        <w:rPr>
          <w:rFonts w:ascii="Manrope Medium" w:hAnsi="Manrope Medium"/>
        </w:rPr>
        <w:t>10.5 Compliance Interfaces</w:t>
      </w:r>
    </w:p>
    <w:p>
      <w:pPr>
        <w:pStyle w:val="BodyText"/>
        <w:bidi w:val="0"/>
        <w:jc w:val="both"/>
        <w:rPr>
          <w:rFonts w:ascii="Manrope Medium" w:hAnsi="Manrope Medium"/>
        </w:rPr>
      </w:pPr>
      <w:r>
        <w:rPr>
          <w:rFonts w:ascii="Manrope Medium" w:hAnsi="Manrope Medium"/>
        </w:rPr>
        <w:t>Though out-of-scope under MiCA, the protocol maintains a compliance-oriented posture:</w:t>
      </w:r>
    </w:p>
    <w:p>
      <w:pPr>
        <w:pStyle w:val="BodyText"/>
        <w:numPr>
          <w:ilvl w:val="0"/>
          <w:numId w:val="22"/>
        </w:numPr>
        <w:tabs>
          <w:tab w:val="left" w:pos="709" w:leader="none"/>
        </w:tabs>
        <w:bidi w:val="0"/>
        <w:ind w:hanging="283" w:start="709"/>
        <w:jc w:val="both"/>
        <w:rPr/>
      </w:pPr>
      <w:r>
        <w:rPr>
          <w:rStyle w:val="Strong"/>
          <w:rFonts w:ascii="Manrope Medium" w:hAnsi="Manrope Medium"/>
        </w:rPr>
        <w:t>Public transparency</w:t>
      </w:r>
      <w:r>
        <w:rPr>
          <w:rFonts w:ascii="Manrope Medium" w:hAnsi="Manrope Medium"/>
        </w:rPr>
        <w:t xml:space="preserve"> of all vault mechanics, treasury flows, and governance changes</w:t>
      </w:r>
    </w:p>
    <w:p>
      <w:pPr>
        <w:pStyle w:val="BodyText"/>
        <w:numPr>
          <w:ilvl w:val="0"/>
          <w:numId w:val="22"/>
        </w:numPr>
        <w:tabs>
          <w:tab w:val="left" w:pos="709" w:leader="none"/>
        </w:tabs>
        <w:bidi w:val="0"/>
        <w:ind w:hanging="283" w:start="709"/>
        <w:jc w:val="both"/>
        <w:rPr/>
      </w:pPr>
      <w:r>
        <w:rPr>
          <w:rStyle w:val="Strong"/>
          <w:rFonts w:ascii="Manrope Medium" w:hAnsi="Manrope Medium"/>
        </w:rPr>
        <w:t>Voluntary disclosures</w:t>
      </w:r>
      <w:r>
        <w:rPr>
          <w:rFonts w:ascii="Manrope Medium" w:hAnsi="Manrope Medium"/>
        </w:rPr>
        <w:t xml:space="preserve"> issued by Quantillon Foundation</w:t>
      </w:r>
    </w:p>
    <w:p>
      <w:pPr>
        <w:pStyle w:val="BodyText"/>
        <w:numPr>
          <w:ilvl w:val="0"/>
          <w:numId w:val="22"/>
        </w:numPr>
        <w:tabs>
          <w:tab w:val="left" w:pos="709" w:leader="none"/>
        </w:tabs>
        <w:bidi w:val="0"/>
        <w:ind w:hanging="283" w:start="709"/>
        <w:jc w:val="both"/>
        <w:rPr/>
      </w:pPr>
      <w:r>
        <w:rPr>
          <w:rStyle w:val="Strong"/>
          <w:rFonts w:ascii="Manrope Medium" w:hAnsi="Manrope Medium"/>
        </w:rPr>
        <w:t>Audit trails</w:t>
      </w:r>
      <w:r>
        <w:rPr>
          <w:rFonts w:ascii="Manrope Medium" w:hAnsi="Manrope Medium"/>
        </w:rPr>
        <w:t xml:space="preserve"> for smart contracts and FX margin mechanisms</w:t>
      </w:r>
    </w:p>
    <w:p>
      <w:pPr>
        <w:pStyle w:val="BodyText"/>
        <w:bidi w:val="0"/>
        <w:jc w:val="both"/>
        <w:rPr>
          <w:rFonts w:ascii="Manrope Medium" w:hAnsi="Manrope Medium"/>
        </w:rPr>
      </w:pPr>
      <w:r>
        <w:rPr>
          <w:rFonts w:ascii="Manrope Medium" w:hAnsi="Manrope Medium"/>
        </w:rPr>
        <w:t>This hybrid approach supports future institutional integrations and legal adaptability across EU jurisdictions.</w:t>
      </w:r>
    </w:p>
    <w:p>
      <w:pPr>
        <w:pStyle w:val="BodyText"/>
        <w:bidi w:val="0"/>
        <w:jc w:val="both"/>
        <w:rPr>
          <w:rFonts w:ascii="Manrope Medium" w:hAnsi="Manrope Medium"/>
        </w:rPr>
      </w:pPr>
      <w:r>
        <w:rPr>
          <w:rFonts w:ascii="Manrope Medium" w:hAnsi="Manrope Medium"/>
        </w:rPr>
        <w:t>Quantillon’s technical backbone is crafted not only for security and functionality, but also for auditability, regulatory interface, and long-term evolvability.</w:t>
      </w:r>
    </w:p>
    <w:p>
      <w:pPr>
        <w:pStyle w:val="Normal"/>
        <w:bidi w:val="0"/>
        <w:jc w:val="both"/>
        <w:rPr>
          <w:rFonts w:ascii="Manrope Medium" w:hAnsi="Manrope Medium"/>
        </w:rPr>
      </w:pPr>
      <w:r>
        <w:rPr>
          <w:rFonts w:ascii="Manrope Medium" w:hAnsi="Manrope Medium"/>
        </w:rPr>
      </w:r>
    </w:p>
    <w:sectPr>
      <w:headerReference w:type="default" r:id="rId3"/>
      <w:headerReference w:type="first" r:id="rId4"/>
      <w:footerReference w:type="default" r:id="rId5"/>
      <w:footerReference w:type="first" r:id="rId6"/>
      <w:type w:val="nextPage"/>
      <w:pgSz w:w="11906" w:h="16838"/>
      <w:pgMar w:left="1134" w:right="1134" w:gutter="0" w:header="1134" w:top="1700" w:footer="1134" w:bottom="207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Manrope">
    <w:charset w:val="01" w:characterSet="utf-8"/>
    <w:family w:val="swiss"/>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Manrope">
    <w:charset w:val="01" w:characterSet="utf-8"/>
    <w:family w:val="roman"/>
    <w:pitch w:val="variable"/>
  </w:font>
  <w:font w:name="Manrope">
    <w:charset w:val="01" w:characterSet="utf-8"/>
    <w:family w:val="auto"/>
    <w:pitch w:val="variable"/>
  </w:font>
  <w:font w:name="Manrope Medium">
    <w:charset w:val="01" w:characterSet="utf-8"/>
    <w:family w:val="auto"/>
    <w:pitch w:val="variable"/>
  </w:font>
  <w:font w:name="Manrope">
    <w:altName w:val="system-ui"/>
    <w:charset w:val="01" w:characterSet="utf-8"/>
    <w:family w:val="auto"/>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start"/>
      <w:tblInd w:w="0" w:type="dxa"/>
      <w:tblLayout w:type="fixed"/>
      <w:tblCellMar>
        <w:top w:w="55" w:type="dxa"/>
        <w:start w:w="55" w:type="dxa"/>
        <w:bottom w:w="55" w:type="dxa"/>
        <w:end w:w="55" w:type="dxa"/>
      </w:tblCellMar>
    </w:tblPr>
    <w:tblGrid>
      <w:gridCol w:w="3212"/>
      <w:gridCol w:w="3213"/>
      <w:gridCol w:w="3213"/>
    </w:tblGrid>
    <w:tr>
      <w:trPr>
        <w:trHeight w:val="285" w:hRule="atLeast"/>
      </w:trPr>
      <w:tc>
        <w:tcPr>
          <w:tcW w:w="3212" w:type="dxa"/>
          <w:tcBorders/>
        </w:tcPr>
        <w:p>
          <w:pPr>
            <w:pStyle w:val="BodyText"/>
            <w:widowControl/>
            <w:pBdr/>
            <w:spacing w:lineRule="auto" w:line="480" w:before="0" w:after="0"/>
            <w:ind w:hanging="0" w:start="0" w:end="0"/>
            <w:jc w:val="start"/>
            <w:rPr/>
          </w:pPr>
          <w:hyperlink r:id="rId1">
            <w:r>
              <w:rPr>
                <w:rStyle w:val="Hyperlink"/>
                <w:rFonts w:ascii="Manrope;system-ui;apple-system;BlinkMacSystemFont;Segoe UI;Roboto;Oxygen;Ubuntu;Cantarell;Open Sans;Helvetica Neue;sans-serif" w:hAnsi="Manrope;system-ui;apple-system;BlinkMacSystemFont;Segoe UI;Roboto;Oxygen;Ubuntu;Cantarell;Open Sans;Helvetica Neue;sans-serif"/>
                <w:b w:val="false"/>
                <w:i w:val="false"/>
                <w:caps w:val="false"/>
                <w:smallCaps w:val="false"/>
                <w:color w:val="FFFFFF"/>
                <w:spacing w:val="0"/>
                <w:sz w:val="16"/>
                <w:szCs w:val="16"/>
              </w:rPr>
              <w:t>© 2025 Quantillon Labs</w:t>
            </w:r>
          </w:hyperlink>
        </w:p>
      </w:tc>
      <w:tc>
        <w:tcPr>
          <w:tcW w:w="3213" w:type="dxa"/>
          <w:tcBorders/>
        </w:tcPr>
        <w:p>
          <w:pPr>
            <w:pStyle w:val="Footer"/>
            <w:jc w:val="center"/>
            <w:rPr/>
          </w:pPr>
          <w:r>
            <w:rPr>
              <w:rFonts w:ascii="Manrope" w:hAnsi="Manrope"/>
              <w:sz w:val="20"/>
              <w:szCs w:val="20"/>
            </w:rPr>
            <w:t xml:space="preserve">Page </w:t>
          </w:r>
          <w:r>
            <w:rPr>
              <w:rFonts w:ascii="Manrope" w:hAnsi="Manrope"/>
              <w:sz w:val="20"/>
              <w:szCs w:val="20"/>
            </w:rPr>
            <w:fldChar w:fldCharType="begin"/>
          </w:r>
          <w:r>
            <w:rPr>
              <w:sz w:val="20"/>
              <w:szCs w:val="20"/>
              <w:rFonts w:ascii="Manrope" w:hAnsi="Manrope"/>
            </w:rPr>
            <w:instrText xml:space="preserve"> PAGE </w:instrText>
          </w:r>
          <w:r>
            <w:rPr>
              <w:sz w:val="20"/>
              <w:szCs w:val="20"/>
              <w:rFonts w:ascii="Manrope" w:hAnsi="Manrope"/>
            </w:rPr>
            <w:fldChar w:fldCharType="separate"/>
          </w:r>
          <w:r>
            <w:rPr>
              <w:sz w:val="20"/>
              <w:szCs w:val="20"/>
              <w:rFonts w:ascii="Manrope" w:hAnsi="Manrope"/>
            </w:rPr>
            <w:t>33</w:t>
          </w:r>
          <w:r>
            <w:rPr>
              <w:sz w:val="20"/>
              <w:szCs w:val="20"/>
              <w:rFonts w:ascii="Manrope" w:hAnsi="Manrope"/>
            </w:rPr>
            <w:fldChar w:fldCharType="end"/>
          </w:r>
          <w:r>
            <w:rPr>
              <w:rFonts w:ascii="Manrope" w:hAnsi="Manrope"/>
              <w:sz w:val="20"/>
              <w:szCs w:val="20"/>
            </w:rPr>
            <w:t>/</w:t>
          </w:r>
          <w:r>
            <w:rPr>
              <w:rFonts w:ascii="Manrope" w:hAnsi="Manrope"/>
              <w:sz w:val="20"/>
              <w:szCs w:val="20"/>
            </w:rPr>
            <w:fldChar w:fldCharType="begin"/>
          </w:r>
          <w:r>
            <w:rPr>
              <w:sz w:val="20"/>
              <w:szCs w:val="20"/>
              <w:rFonts w:ascii="Manrope" w:hAnsi="Manrope"/>
            </w:rPr>
            <w:instrText xml:space="preserve"> NUMPAGES </w:instrText>
          </w:r>
          <w:r>
            <w:rPr>
              <w:sz w:val="20"/>
              <w:szCs w:val="20"/>
              <w:rFonts w:ascii="Manrope" w:hAnsi="Manrope"/>
            </w:rPr>
            <w:fldChar w:fldCharType="separate"/>
          </w:r>
          <w:r>
            <w:rPr>
              <w:sz w:val="20"/>
              <w:szCs w:val="20"/>
              <w:rFonts w:ascii="Manrope" w:hAnsi="Manrope"/>
            </w:rPr>
            <w:t>33</w:t>
          </w:r>
          <w:r>
            <w:rPr>
              <w:sz w:val="20"/>
              <w:szCs w:val="20"/>
              <w:rFonts w:ascii="Manrope" w:hAnsi="Manrope"/>
            </w:rPr>
            <w:fldChar w:fldCharType="end"/>
          </w:r>
          <w:r>
            <w:rPr/>
            <w:br/>
          </w:r>
        </w:p>
      </w:tc>
      <w:tc>
        <w:tcPr>
          <w:tcW w:w="3213" w:type="dxa"/>
          <w:tcBorders/>
        </w:tcPr>
        <w:p>
          <w:pPr>
            <w:pStyle w:val="Contenudetableau"/>
            <w:rPr/>
          </w:pPr>
          <w:r>
            <w:rPr/>
          </w:r>
        </w:p>
      </w:tc>
    </w:tr>
  </w:tbl>
  <w:p>
    <w:pPr>
      <w:pStyle w:val="Footer"/>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start"/>
      <w:tblInd w:w="0" w:type="dxa"/>
      <w:tblLayout w:type="fixed"/>
      <w:tblCellMar>
        <w:top w:w="55" w:type="dxa"/>
        <w:start w:w="55" w:type="dxa"/>
        <w:bottom w:w="55" w:type="dxa"/>
        <w:end w:w="55" w:type="dxa"/>
      </w:tblCellMar>
    </w:tblPr>
    <w:tblGrid>
      <w:gridCol w:w="3212"/>
      <w:gridCol w:w="3213"/>
      <w:gridCol w:w="3213"/>
    </w:tblGrid>
    <w:tr>
      <w:trPr>
        <w:trHeight w:val="285" w:hRule="atLeast"/>
      </w:trPr>
      <w:tc>
        <w:tcPr>
          <w:tcW w:w="3212" w:type="dxa"/>
          <w:tcBorders/>
        </w:tcPr>
        <w:p>
          <w:pPr>
            <w:pStyle w:val="Contenudetableau"/>
            <w:rPr/>
          </w:pPr>
          <w:r>
            <w:rPr/>
          </w:r>
        </w:p>
      </w:tc>
      <w:tc>
        <w:tcPr>
          <w:tcW w:w="3213" w:type="dxa"/>
          <w:tcBorders/>
        </w:tcPr>
        <w:p>
          <w:pPr>
            <w:pStyle w:val="Footer"/>
            <w:jc w:val="center"/>
            <w:rPr/>
          </w:pPr>
          <w:r>
            <w:rPr/>
          </w:r>
        </w:p>
      </w:tc>
      <w:tc>
        <w:tcPr>
          <w:tcW w:w="3213" w:type="dxa"/>
          <w:tcBorders/>
        </w:tcPr>
        <w:p>
          <w:pPr>
            <w:pStyle w:val="Contenudetableau"/>
            <w:rPr/>
          </w:pPr>
          <w:r>
            <w:rPr/>
          </w:r>
        </w:p>
      </w:tc>
    </w:tr>
  </w:tbl>
  <w:p>
    <w:pPr>
      <w:pStyle w:val="Footer"/>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end"/>
      <w:rPr>
        <w:sz w:val="20"/>
        <w:szCs w:val="20"/>
      </w:rPr>
    </w:pPr>
    <w:r>
      <w:rPr>
        <w:sz w:val="20"/>
        <w:szCs w:val="20"/>
      </w:rPr>
      <w:t>Quantillon ● Whitepaper ● July 2025</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end"/>
      <w:rPr>
        <w:sz w:val="20"/>
        <w:szCs w:val="20"/>
      </w:rPr>
    </w:pPr>
    <w:r>
      <w:rPr>
        <w:sz w:val="20"/>
        <w:szCs w:val="20"/>
      </w:rPr>
      <w:t xml:space="preserve">Quantillon ● Whitepaper ● </w:t>
    </w:r>
    <w:r>
      <w:rPr>
        <w:sz w:val="20"/>
        <w:szCs w:val="20"/>
      </w:rPr>
      <w:t>August</w:t>
    </w:r>
    <w:r>
      <w:rPr>
        <w:sz w:val="20"/>
        <w:szCs w:val="20"/>
      </w:rPr>
      <w:t xml:space="preserve"> 2025</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8">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OpenSymbol" w:hAnsi="OpenSymbol" w:cs="OpenSymbol" w:hint="default"/>
      </w:rPr>
    </w:lvl>
    <w:lvl w:ilvl="2">
      <w:start w:val="1"/>
      <w:numFmt w:val="bullet"/>
      <w:lvlText w:val="▪"/>
      <w:lvlJc w:val="start"/>
      <w:pPr>
        <w:tabs>
          <w:tab w:val="num" w:pos="2149"/>
        </w:tabs>
        <w:ind w:start="2149" w:hanging="360"/>
      </w:pPr>
      <w:rPr>
        <w:rFonts w:ascii="OpenSymbol" w:hAnsi="OpenSymbol" w:cs="Open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OpenSymbol" w:hAnsi="OpenSymbol" w:cs="OpenSymbol" w:hint="default"/>
      </w:rPr>
    </w:lvl>
    <w:lvl w:ilvl="5">
      <w:start w:val="1"/>
      <w:numFmt w:val="bullet"/>
      <w:lvlText w:val="▪"/>
      <w:lvlJc w:val="start"/>
      <w:pPr>
        <w:tabs>
          <w:tab w:val="num" w:pos="3229"/>
        </w:tabs>
        <w:ind w:start="3229" w:hanging="360"/>
      </w:pPr>
      <w:rPr>
        <w:rFonts w:ascii="OpenSymbol" w:hAnsi="OpenSymbol" w:cs="Open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OpenSymbol" w:hAnsi="OpenSymbol" w:cs="OpenSymbol" w:hint="default"/>
      </w:rPr>
    </w:lvl>
    <w:lvl w:ilvl="8">
      <w:start w:val="1"/>
      <w:numFmt w:val="bullet"/>
      <w:lvlText w:val="▪"/>
      <w:lvlJc w:val="start"/>
      <w:pPr>
        <w:tabs>
          <w:tab w:val="num" w:pos="4309"/>
        </w:tabs>
        <w:ind w:start="4309" w:hanging="360"/>
      </w:pPr>
      <w:rPr>
        <w:rFonts w:ascii="OpenSymbol" w:hAnsi="OpenSymbol" w:cs="OpenSymbol" w:hint="default"/>
      </w:rPr>
    </w:lvl>
  </w:abstractNum>
  <w:abstractNum w:abstractNumId="29">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OpenSymbol" w:hAnsi="OpenSymbol" w:cs="OpenSymbol" w:hint="default"/>
      </w:rPr>
    </w:lvl>
    <w:lvl w:ilvl="2">
      <w:start w:val="1"/>
      <w:numFmt w:val="bullet"/>
      <w:lvlText w:val="▪"/>
      <w:lvlJc w:val="start"/>
      <w:pPr>
        <w:tabs>
          <w:tab w:val="num" w:pos="2149"/>
        </w:tabs>
        <w:ind w:start="2149" w:hanging="360"/>
      </w:pPr>
      <w:rPr>
        <w:rFonts w:ascii="OpenSymbol" w:hAnsi="OpenSymbol" w:cs="Open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OpenSymbol" w:hAnsi="OpenSymbol" w:cs="OpenSymbol" w:hint="default"/>
      </w:rPr>
    </w:lvl>
    <w:lvl w:ilvl="5">
      <w:start w:val="1"/>
      <w:numFmt w:val="bullet"/>
      <w:lvlText w:val="▪"/>
      <w:lvlJc w:val="start"/>
      <w:pPr>
        <w:tabs>
          <w:tab w:val="num" w:pos="3229"/>
        </w:tabs>
        <w:ind w:start="3229" w:hanging="360"/>
      </w:pPr>
      <w:rPr>
        <w:rFonts w:ascii="OpenSymbol" w:hAnsi="OpenSymbol" w:cs="Open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OpenSymbol" w:hAnsi="OpenSymbol" w:cs="OpenSymbol" w:hint="default"/>
      </w:rPr>
    </w:lvl>
    <w:lvl w:ilvl="8">
      <w:start w:val="1"/>
      <w:numFmt w:val="bullet"/>
      <w:lvlText w:val="▪"/>
      <w:lvlJc w:val="start"/>
      <w:pPr>
        <w:tabs>
          <w:tab w:val="num" w:pos="4309"/>
        </w:tabs>
        <w:ind w:start="4309" w:hanging="360"/>
      </w:pPr>
      <w:rPr>
        <w:rFonts w:ascii="OpenSymbol" w:hAnsi="OpenSymbol" w:cs="OpenSymbol" w:hint="default"/>
      </w:rPr>
    </w:lvl>
  </w:abstractNum>
  <w:abstractNum w:abstractNumId="3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w="http://schemas.openxmlformats.org/wordprocessingml/2006/main">
  <w:zoom w:percent="150"/>
  <w:displayBackgroundShape/>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start"/>
    </w:pPr>
    <w:rPr>
      <w:rFonts w:ascii="Liberation Serif" w:hAnsi="Liberation Serif" w:eastAsia="Noto Serif CJK SC" w:cs="Noto Sans Devanagari"/>
      <w:color w:val="auto"/>
      <w:kern w:val="2"/>
      <w:sz w:val="24"/>
      <w:szCs w:val="24"/>
      <w:lang w:val="fr-FR" w:eastAsia="zh-CN" w:bidi="hi-IN"/>
    </w:rPr>
  </w:style>
  <w:style w:type="paragraph" w:styleId="Heading2">
    <w:name w:val="Heading 2"/>
    <w:basedOn w:val="Titre"/>
    <w:next w:val="BodyText"/>
    <w:qFormat/>
    <w:pPr>
      <w:numPr>
        <w:ilvl w:val="0"/>
        <w:numId w:val="0"/>
      </w:numPr>
      <w:spacing w:before="200" w:after="120"/>
      <w:outlineLvl w:val="1"/>
    </w:pPr>
    <w:rPr>
      <w:rFonts w:ascii="Manrope" w:hAnsi="Manrope" w:eastAsia="Noto Serif CJK SC" w:cs="Noto Sans Devanagari"/>
      <w:b/>
      <w:bCs/>
      <w:color w:val="FFFFFF"/>
      <w:sz w:val="28"/>
      <w:szCs w:val="36"/>
    </w:rPr>
  </w:style>
  <w:style w:type="paragraph" w:styleId="Heading3">
    <w:name w:val="Heading 3"/>
    <w:basedOn w:val="Titre"/>
    <w:next w:val="BodyText"/>
    <w:qFormat/>
    <w:pPr>
      <w:numPr>
        <w:ilvl w:val="0"/>
        <w:numId w:val="0"/>
      </w:numPr>
      <w:spacing w:before="140" w:after="120"/>
      <w:outlineLvl w:val="2"/>
    </w:pPr>
    <w:rPr>
      <w:rFonts w:ascii="Manrope" w:hAnsi="Manrope" w:eastAsia="Noto Serif CJK SC" w:cs="Noto Sans Devanagari"/>
      <w:b/>
      <w:bCs/>
      <w:sz w:val="24"/>
      <w:szCs w:val="28"/>
    </w:rPr>
  </w:style>
  <w:style w:type="paragraph" w:styleId="Heading4">
    <w:name w:val="Heading 4"/>
    <w:basedOn w:val="Titre"/>
    <w:next w:val="BodyText"/>
    <w:qFormat/>
    <w:pPr>
      <w:numPr>
        <w:ilvl w:val="0"/>
        <w:numId w:val="0"/>
      </w:numPr>
      <w:spacing w:before="120" w:after="120"/>
      <w:outlineLvl w:val="3"/>
    </w:pPr>
    <w:rPr>
      <w:rFonts w:ascii="Liberation Serif" w:hAnsi="Liberation Serif" w:eastAsia="Noto Serif CJK SC" w:cs="Noto Sans Devanagari"/>
      <w:b/>
      <w:bCs/>
      <w:sz w:val="24"/>
      <w:szCs w:val="24"/>
    </w:rPr>
  </w:style>
  <w:style w:type="character" w:styleId="Puces">
    <w:name w:val="Puces"/>
    <w:qFormat/>
    <w:rPr>
      <w:rFonts w:ascii="OpenSymbol" w:hAnsi="OpenSymbol" w:eastAsia="OpenSymbol" w:cs="OpenSymbol"/>
    </w:rPr>
  </w:style>
  <w:style w:type="character" w:styleId="Strong">
    <w:name w:val="Strong"/>
    <w:qFormat/>
    <w:rPr>
      <w:b/>
      <w:bCs/>
    </w:rPr>
  </w:style>
  <w:style w:type="character" w:styleId="Emphasis">
    <w:name w:val="Emphasis"/>
    <w:qFormat/>
    <w:rPr>
      <w:i/>
      <w:iCs/>
    </w:rPr>
  </w:style>
  <w:style w:type="character" w:styleId="Caractresdenumrotation">
    <w:name w:val="Caractères de numérotation"/>
    <w:qFormat/>
    <w:rPr/>
  </w:style>
  <w:style w:type="character" w:styleId="Hyperlink">
    <w:name w:val="Hyperlink"/>
    <w:rPr>
      <w:color w:val="000080"/>
      <w:u w:val="single"/>
    </w:rPr>
  </w:style>
  <w:style w:type="character" w:styleId="Sautdindex">
    <w:name w:val="Saut d'index"/>
    <w:qFormat/>
    <w:rPr/>
  </w:style>
  <w:style w:type="paragraph" w:styleId="Titre">
    <w:name w:val="Titre"/>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jc w:val="distribute"/>
    </w:pPr>
    <w:rPr>
      <w:rFonts w:ascii="Manrope" w:hAnsi="Manrope"/>
      <w:sz w:val="22"/>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ascii="Manrope" w:hAnsi="Manrope" w:cs="Noto Sans Devanagari"/>
      <w:sz w:val="28"/>
    </w:rPr>
  </w:style>
  <w:style w:type="paragraph" w:styleId="Lignehorizontale">
    <w:name w:val="Ligne horizontale"/>
    <w:basedOn w:val="Normal"/>
    <w:next w:val="BodyText"/>
    <w:qFormat/>
    <w:pPr>
      <w:suppressLineNumbers/>
      <w:pBdr>
        <w:bottom w:val="double" w:sz="2" w:space="0" w:color="808080"/>
      </w:pBdr>
      <w:spacing w:before="0" w:after="283"/>
    </w:pPr>
    <w:rPr>
      <w:sz w:val="12"/>
      <w:szCs w:val="12"/>
    </w:rPr>
  </w:style>
  <w:style w:type="paragraph" w:styleId="Blocdecitation">
    <w:name w:val="Bloc de citation"/>
    <w:basedOn w:val="Normal"/>
    <w:qFormat/>
    <w:pPr>
      <w:spacing w:before="0" w:after="283"/>
      <w:ind w:hanging="0" w:start="567" w:end="567"/>
    </w:pPr>
    <w:rPr/>
  </w:style>
  <w:style w:type="paragraph" w:styleId="IndexHeading">
    <w:name w:val="Index Heading"/>
    <w:basedOn w:val="Titre"/>
    <w:pPr>
      <w:suppressLineNumbers/>
      <w:ind w:hanging="0" w:start="0"/>
    </w:pPr>
    <w:rPr>
      <w:b/>
      <w:bCs/>
      <w:sz w:val="32"/>
      <w:szCs w:val="32"/>
    </w:rPr>
  </w:style>
  <w:style w:type="paragraph" w:styleId="TOCHeading">
    <w:name w:val="TOC Heading"/>
    <w:basedOn w:val="IndexHeading"/>
    <w:qFormat/>
    <w:pPr>
      <w:suppressLineNumbers/>
      <w:ind w:hanging="0" w:start="0"/>
    </w:pPr>
    <w:rPr>
      <w:rFonts w:ascii="Manrope" w:hAnsi="Manrope"/>
      <w:b/>
      <w:bCs/>
      <w:sz w:val="36"/>
      <w:szCs w:val="32"/>
    </w:rPr>
  </w:style>
  <w:style w:type="paragraph" w:styleId="TOC2">
    <w:name w:val="TOC 2"/>
    <w:basedOn w:val="Index"/>
    <w:pPr>
      <w:tabs>
        <w:tab w:val="clear" w:pos="709"/>
        <w:tab w:val="right" w:pos="9355" w:leader="dot"/>
      </w:tabs>
      <w:spacing w:before="340" w:after="0"/>
      <w:ind w:hanging="0" w:start="283"/>
    </w:pPr>
    <w:rPr>
      <w:rFonts w:ascii="Manrope" w:hAnsi="Manrope"/>
      <w:sz w:val="24"/>
    </w:rPr>
  </w:style>
  <w:style w:type="paragraph" w:styleId="TOC3">
    <w:name w:val="TOC 3"/>
    <w:basedOn w:val="Index"/>
    <w:pPr>
      <w:tabs>
        <w:tab w:val="clear" w:pos="709"/>
        <w:tab w:val="right" w:pos="9071" w:leader="dot"/>
      </w:tabs>
      <w:spacing w:before="113" w:after="0"/>
      <w:ind w:hanging="0" w:start="567"/>
    </w:pPr>
    <w:rPr>
      <w:rFonts w:ascii="Manrope" w:hAnsi="Manrope"/>
      <w:sz w:val="20"/>
    </w:rPr>
  </w:style>
  <w:style w:type="paragraph" w:styleId="En-tteetpieddepage">
    <w:name w:val="En-tête et pied de page"/>
    <w:basedOn w:val="Normal"/>
    <w:qFormat/>
    <w:pPr>
      <w:suppressLineNumbers/>
      <w:tabs>
        <w:tab w:val="clear" w:pos="709"/>
        <w:tab w:val="center" w:pos="4819" w:leader="none"/>
        <w:tab w:val="right" w:pos="9638" w:leader="none"/>
      </w:tabs>
    </w:pPr>
    <w:rPr/>
  </w:style>
  <w:style w:type="paragraph" w:styleId="Footer">
    <w:name w:val="Footer"/>
    <w:basedOn w:val="En-tteetpieddepage"/>
    <w:pPr>
      <w:suppressLineNumbers/>
    </w:pPr>
    <w:rPr/>
  </w:style>
  <w:style w:type="paragraph" w:styleId="Header">
    <w:name w:val="Header"/>
    <w:basedOn w:val="En-tteetpieddepage"/>
    <w:pPr>
      <w:suppressLineNumbers/>
    </w:pPr>
    <w:rPr/>
  </w:style>
  <w:style w:type="paragraph" w:styleId="Contenudetableau">
    <w:name w:val="Contenu de tableau"/>
    <w:basedOn w:val="Normal"/>
    <w:qFormat/>
    <w:pPr>
      <w:widowControl w:val="false"/>
      <w:suppressLineNumbers/>
    </w:pPr>
    <w:rPr/>
  </w:style>
  <w:style w:type="paragraph" w:styleId="TOC1">
    <w:name w:val="TOC 1"/>
    <w:basedOn w:val="Index"/>
    <w:pPr>
      <w:tabs>
        <w:tab w:val="clear" w:pos="709"/>
        <w:tab w:val="right" w:pos="9638" w:leader="dot"/>
      </w:tabs>
      <w:ind w:hanging="0" w:start="0"/>
    </w:pPr>
    <w:rPr>
      <w:rFonts w:ascii="Manrope" w:hAnsi="Manrope"/>
      <w:sz w:val="28"/>
    </w:rPr>
  </w:style>
  <w:style w:type="paragraph" w:styleId="Titredetableau">
    <w:name w:val="Titre de tableau"/>
    <w:basedOn w:val="Contenudetableau"/>
    <w:qFormat/>
    <w:pPr>
      <w:suppressLineNumbers/>
      <w:jc w:val="center"/>
    </w:pPr>
    <w:rPr>
      <w:b/>
      <w:bCs/>
    </w:rPr>
  </w:style>
  <w:style w:type="paragraph" w:styleId="TOC4">
    <w:name w:val="TOC 4"/>
    <w:basedOn w:val="Index"/>
    <w:pPr>
      <w:tabs>
        <w:tab w:val="clear" w:pos="709"/>
        <w:tab w:val="right" w:pos="8788" w:leader="dot"/>
      </w:tabs>
      <w:ind w:hanging="0" w:start="85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quantillon.money/"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252</TotalTime>
  <Application>LibreOffice/24.2.7.2$Linux_X86_64 LibreOffice_project/420$Build-2</Application>
  <AppVersion>15.0000</AppVersion>
  <Pages>33</Pages>
  <Words>6934</Words>
  <Characters>43558</Characters>
  <CharactersWithSpaces>49949</CharactersWithSpaces>
  <Paragraphs>521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2025-07-30T11:16:52Z</dcterms:created>
  <dc:creator/>
  <dc:description/>
  <dc:language>fr-FR</dc:language>
  <cp:lastModifiedBy/>
  <cp:lastPrinted>2025-08-06T17:01:59Z</cp:lastPrinted>
  <dcterms:modified xsi:type="dcterms:W3CDTF">2025-08-22T10:56:29Z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file>