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28"/>
        </w:rPr>
        <w:t>NBTC SAS</w:t>
      </w:r>
    </w:p>
    <w:p>
      <w:pPr>
        <w:spacing w:before="240" w:after="120"/>
        <w:jc w:val="center"/>
      </w:pPr>
      <w:r>
        <w:rPr>
          <w:b w:val="0"/>
          <w:sz w:val="22"/>
        </w:rPr>
        <w:t>Société par actions simplifiée au capital de 10 000 euros</w:t>
      </w:r>
    </w:p>
    <w:p>
      <w:pPr>
        <w:spacing w:before="240" w:after="120"/>
        <w:jc w:val="center"/>
      </w:pPr>
      <w:r>
        <w:rPr>
          <w:b w:val="0"/>
          <w:sz w:val="22"/>
        </w:rPr>
        <w:t>Siège social : 27 Avenue Léon Blum, 33700 Mérignac</w:t>
      </w:r>
    </w:p>
    <w:p>
      <w:pPr>
        <w:spacing w:before="240" w:after="120"/>
        <w:jc w:val="center"/>
      </w:pPr>
      <w:r>
        <w:rPr>
          <w:b w:val="0"/>
          <w:sz w:val="22"/>
        </w:rPr>
        <w:t>901 254 342 RCS Bordeaux</w:t>
      </w:r>
    </w:p>
    <w:p/>
    <w:p>
      <w:pPr>
        <w:spacing w:before="60" w:after="60"/>
        <w:jc w:val="left"/>
      </w:pPr>
      <w:r>
        <w:rPr>
          <w:b w:val="0"/>
          <w:sz w:val="22"/>
        </w:rPr>
        <w:t>L'an deux mille vingt six</w:t>
      </w:r>
    </w:p>
    <w:p>
      <w:pPr>
        <w:spacing w:before="60" w:after="60"/>
        <w:jc w:val="left"/>
      </w:pPr>
      <w:r>
        <w:rPr>
          <w:b w:val="0"/>
          <w:sz w:val="22"/>
        </w:rPr>
        <w:t>Le 30 avril 2026,</w:t>
      </w:r>
    </w:p>
    <w:p>
      <w:pPr>
        <w:spacing w:before="60" w:after="60"/>
        <w:jc w:val="left"/>
      </w:pPr>
      <w:r>
        <w:rPr>
          <w:b w:val="0"/>
          <w:sz w:val="22"/>
        </w:rPr>
        <w:t>A 14 heures,</w:t>
      </w:r>
    </w:p>
    <w:p>
      <w:pPr>
        <w:spacing w:before="60" w:after="60"/>
        <w:jc w:val="left"/>
      </w:pPr>
      <w:r>
        <w:rPr>
          <w:b w:val="0"/>
          <w:sz w:val="22"/>
        </w:rPr>
        <w:t>Au siège social,</w:t>
      </w:r>
    </w:p>
    <w:p/>
    <w:p>
      <w:pPr>
        <w:spacing w:before="60" w:after="60"/>
        <w:jc w:val="both"/>
      </w:pPr>
      <w:r>
        <w:rPr>
          <w:b w:val="0"/>
          <w:sz w:val="22"/>
        </w:rPr>
        <w:t>Le soussigné, Monsieur Nicolas Bellengé, associé unique de la société NBTC SAS, a pris les décisions portant sur l'ordre du jour suivant :</w:t>
      </w:r>
    </w:p>
    <w:p/>
    <w:p>
      <w:pPr>
        <w:spacing w:before="240" w:after="120"/>
        <w:jc w:val="center"/>
      </w:pPr>
      <w:r>
        <w:rPr>
          <w:b/>
          <w:sz w:val="24"/>
        </w:rPr>
        <w:t>ORDRE DU JOUR</w:t>
      </w:r>
    </w:p>
    <w:p>
      <w:pPr>
        <w:pStyle w:val="ListBullet"/>
        <w:jc w:val="both"/>
      </w:pPr>
      <w:r>
        <w:rPr>
          <w:sz w:val="22"/>
        </w:rPr>
        <w:t>Rapport établi par le Président</w:t>
      </w:r>
    </w:p>
    <w:p>
      <w:pPr>
        <w:pStyle w:val="ListBullet"/>
        <w:jc w:val="both"/>
      </w:pPr>
      <w:r>
        <w:rPr>
          <w:sz w:val="22"/>
        </w:rPr>
        <w:t>Approbation des comptes de l'exercice social clos le 31 décembre 2025, approbation des charges non déductibles et quitus au Président</w:t>
      </w:r>
    </w:p>
    <w:p>
      <w:pPr>
        <w:pStyle w:val="ListBullet"/>
        <w:jc w:val="both"/>
      </w:pPr>
      <w:r>
        <w:rPr>
          <w:sz w:val="22"/>
        </w:rPr>
        <w:t>Affectation du résultat de l'exercice</w:t>
      </w:r>
    </w:p>
    <w:p>
      <w:pPr>
        <w:pStyle w:val="ListBullet"/>
        <w:jc w:val="both"/>
      </w:pPr>
      <w:r>
        <w:rPr>
          <w:sz w:val="22"/>
        </w:rPr>
        <w:t>Conventions visées à l'article L. 227-10 du Code de commerce</w:t>
      </w:r>
    </w:p>
    <w:p>
      <w:pPr>
        <w:pStyle w:val="ListBullet"/>
        <w:jc w:val="both"/>
      </w:pPr>
      <w:r>
        <w:rPr>
          <w:sz w:val="22"/>
        </w:rPr>
        <w:t>Rémunération du Président</w:t>
      </w:r>
    </w:p>
    <w:p>
      <w:pPr>
        <w:pStyle w:val="ListBullet"/>
        <w:jc w:val="both"/>
      </w:pPr>
      <w:r>
        <w:rPr>
          <w:sz w:val="22"/>
        </w:rPr>
        <w:t>Délégation de pouvoirs pour l'accomplissement des formalités.</w:t>
      </w:r>
    </w:p>
    <w:p/>
    <w:p>
      <w:pPr>
        <w:spacing w:before="240" w:after="120"/>
        <w:jc w:val="left"/>
      </w:pPr>
      <w:r>
        <w:rPr>
          <w:b/>
          <w:sz w:val="22"/>
        </w:rPr>
        <w:t>APRES AVOIR PRIS CONNAISSANCE :</w:t>
      </w:r>
    </w:p>
    <w:p>
      <w:pPr>
        <w:pStyle w:val="ListBullet"/>
        <w:jc w:val="both"/>
      </w:pPr>
      <w:r>
        <w:rPr>
          <w:sz w:val="22"/>
        </w:rPr>
        <w:t>des comptes annuels arrêtés au 31 décembre 2025</w:t>
      </w:r>
    </w:p>
    <w:p>
      <w:pPr>
        <w:pStyle w:val="ListBullet"/>
        <w:jc w:val="both"/>
      </w:pPr>
      <w:r>
        <w:rPr>
          <w:sz w:val="22"/>
        </w:rPr>
        <w:t>du rapport du Président sur les comptes de l'exercice clos le 31 décembre 2025</w:t>
      </w:r>
    </w:p>
    <w:p>
      <w:pPr>
        <w:pStyle w:val="ListBullet"/>
        <w:jc w:val="both"/>
      </w:pPr>
      <w:r>
        <w:rPr>
          <w:sz w:val="22"/>
        </w:rPr>
        <w:t>du projet de texte des décisions établi par le Président</w:t>
      </w:r>
    </w:p>
    <w:p/>
    <w:p>
      <w:pPr>
        <w:spacing w:before="240" w:after="120"/>
        <w:jc w:val="left"/>
      </w:pPr>
      <w:r>
        <w:rPr>
          <w:b/>
          <w:sz w:val="22"/>
        </w:rPr>
        <w:t>ET CONSTATE :</w:t>
      </w:r>
    </w:p>
    <w:p/>
    <w:p>
      <w:pPr>
        <w:spacing w:before="240" w:after="120"/>
        <w:jc w:val="left"/>
      </w:pPr>
      <w:r>
        <w:rPr>
          <w:b/>
          <w:sz w:val="24"/>
        </w:rPr>
        <w:t>PREMIERE DECISION</w:t>
      </w:r>
    </w:p>
    <w:p>
      <w:pPr>
        <w:spacing w:before="60" w:after="60"/>
        <w:jc w:val="both"/>
      </w:pPr>
      <w:r>
        <w:rPr>
          <w:b w:val="0"/>
          <w:sz w:val="22"/>
        </w:rPr>
        <w:t>L'associé unique, après avoir pris connaissance du rapport du Président, approuve les comptes annuels de l'exercice clos le 31 décembre 2025, ainsi que les opérations traduites dans ces comptes et résumées dans ces rapports, qui font apparaître une perte nette comptable de (194 200) euros.</w:t>
      </w:r>
    </w:p>
    <w:p/>
    <w:p>
      <w:pPr>
        <w:spacing w:before="60" w:after="60"/>
        <w:jc w:val="both"/>
      </w:pPr>
      <w:r>
        <w:rPr>
          <w:b w:val="0"/>
          <w:sz w:val="22"/>
        </w:rPr>
        <w:t>Conformément à l'article 223 quater du Code général des impôts, l'associé unique constate qu'aucune dépense au titre de l'article 39-4 dudit code n'a été réalisée.</w:t>
      </w:r>
    </w:p>
    <w:p/>
    <w:p>
      <w:pPr>
        <w:spacing w:before="60" w:after="60"/>
        <w:jc w:val="both"/>
      </w:pPr>
      <w:r>
        <w:rPr>
          <w:b w:val="0"/>
          <w:sz w:val="22"/>
        </w:rPr>
        <w:t>En conséquence, l'associé unique donne pour l'exercice clos le 31 décembre 2025 quitus de sa gestion au Président, Monsieur Nicolas Bellengé.</w:t>
      </w:r>
    </w:p>
    <w:p/>
    <w:p>
      <w:pPr>
        <w:spacing w:before="240" w:after="120"/>
        <w:jc w:val="left"/>
      </w:pPr>
      <w:r>
        <w:rPr>
          <w:b/>
          <w:sz w:val="24"/>
        </w:rPr>
        <w:t>DEUXIEME DECISION</w:t>
      </w:r>
    </w:p>
    <w:p>
      <w:pPr>
        <w:spacing w:before="60" w:after="60"/>
        <w:jc w:val="both"/>
      </w:pPr>
      <w:r>
        <w:rPr>
          <w:b w:val="0"/>
          <w:sz w:val="22"/>
        </w:rPr>
        <w:t>L'associé unique, sur proposition du Président de la Société, décide d'affecter la perte de l'exercice clos le 31 décembre 2025 s'élevant à (194 200) euros au report à nouveau qui passera ainsi de (281 746) euros à (475 946) euros.</w:t>
      </w:r>
    </w:p>
    <w:p/>
    <w:p>
      <w:pPr>
        <w:spacing w:before="240" w:after="120"/>
        <w:jc w:val="left"/>
      </w:pPr>
      <w:r>
        <w:rPr>
          <w:b/>
          <w:sz w:val="24"/>
        </w:rPr>
        <w:t>TROISIEME DECISION</w:t>
      </w:r>
    </w:p>
    <w:p>
      <w:pPr>
        <w:spacing w:before="60" w:after="60"/>
        <w:jc w:val="both"/>
      </w:pPr>
      <w:r>
        <w:rPr>
          <w:b w:val="0"/>
          <w:sz w:val="22"/>
        </w:rPr>
        <w:t>L'associé unique prend acte qu'aucune convention réglementée n'a été conclue au cours de l'exercice écoulé. La convention suivante conclue au cours d'un exercice antérieur s'est poursuivie au cours de l'exercice clos au 31/12/2025 : convention de compte courant d'associé conclue entre la Société et son associé unique en 2021. Le solde des sommes dues par la Société à son associé unique au 31/12/2025 s'élève à 1 684 070,70 €.</w:t>
      </w:r>
    </w:p>
    <w:p/>
    <w:p>
      <w:pPr>
        <w:spacing w:before="240" w:after="120"/>
        <w:jc w:val="left"/>
      </w:pPr>
      <w:r>
        <w:rPr>
          <w:b/>
          <w:sz w:val="24"/>
        </w:rPr>
        <w:t>QUATRIEME DECISION</w:t>
      </w:r>
    </w:p>
    <w:p>
      <w:pPr>
        <w:spacing w:before="60" w:after="60"/>
        <w:jc w:val="both"/>
      </w:pPr>
      <w:r>
        <w:rPr>
          <w:b w:val="0"/>
          <w:sz w:val="22"/>
        </w:rPr>
        <w:t>L'associé unique prend acte de ce que le Président a perçu au titre de son mandat la somme de 17 439,14 euros brut au cours de l'exercice écoulé, et approuve cette rémunération.</w:t>
      </w:r>
    </w:p>
    <w:p/>
    <w:p>
      <w:pPr>
        <w:spacing w:before="240" w:after="120"/>
        <w:jc w:val="left"/>
      </w:pPr>
      <w:r>
        <w:rPr>
          <w:b/>
          <w:sz w:val="24"/>
        </w:rPr>
        <w:t>CINQUIEME DÉCISION</w:t>
      </w:r>
    </w:p>
    <w:p>
      <w:pPr>
        <w:spacing w:before="60" w:after="60"/>
        <w:jc w:val="both"/>
      </w:pPr>
      <w:r>
        <w:rPr>
          <w:b w:val="0"/>
          <w:sz w:val="22"/>
        </w:rPr>
        <w:t>L'associé unique donne tous pouvoirs au porteur de copies ou d'extraits du présent procès-verbal à l'effet d'accomplir toutes formalités de droit.</w:t>
      </w:r>
    </w:p>
    <w:p/>
    <w:p/>
    <w:p>
      <w:pPr>
        <w:spacing w:before="60" w:after="60"/>
        <w:jc w:val="both"/>
      </w:pPr>
      <w:r>
        <w:rPr>
          <w:b w:val="0"/>
          <w:sz w:val="22"/>
        </w:rPr>
        <w:t>De tout ce que dessus, l'associé unique a dressé et signé le présent procès-verbal.</w:t>
      </w:r>
    </w:p>
    <w:p/>
    <w:p/>
    <w:p>
      <w:pPr>
        <w:jc w:val="right"/>
      </w:pPr>
      <w:r>
        <w:t>_____________________________________</w:t>
      </w:r>
    </w:p>
    <w:p>
      <w:pPr>
        <w:jc w:val="right"/>
      </w:pPr>
      <w:r>
        <w:t>L'associé unique</w:t>
      </w:r>
    </w:p>
    <w:p>
      <w:pPr>
        <w:jc w:val="right"/>
      </w:pPr>
      <w:r>
        <w:t>Monsieur Nicolas Bellengé</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