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B1AB0" w14:textId="77777777" w:rsidR="00FE7C65" w:rsidRPr="00FE7C65" w:rsidRDefault="00D06E78">
      <w:pPr>
        <w:pStyle w:val="BodyText"/>
        <w:rPr>
          <w:b/>
          <w:bCs/>
          <w:i/>
        </w:rPr>
      </w:pPr>
      <w:bookmarkStart w:id="0" w:name="_GoBack"/>
      <w:bookmarkEnd w:id="0"/>
      <w:r w:rsidRPr="00FE7C65">
        <w:rPr>
          <w:b/>
          <w:bCs/>
        </w:rPr>
        <w:t xml:space="preserve">Performance of integrated population models across varying data landscapes </w:t>
      </w:r>
    </w:p>
    <w:p w14:paraId="1FBB9E71" w14:textId="77777777" w:rsidR="002E5437" w:rsidRDefault="00D06E78">
      <w:pPr>
        <w:pStyle w:val="BodyText"/>
      </w:pPr>
      <w:r>
        <w:t>Abby Bratt, Caroline Cappello, Amelia DuVall, Hannah Sipe, Amanda Warlick</w:t>
      </w:r>
    </w:p>
    <w:p w14:paraId="7BBA19FB" w14:textId="77777777" w:rsidR="002E5437" w:rsidRDefault="00D06E78">
      <w:pPr>
        <w:pStyle w:val="BodyText"/>
      </w:pPr>
      <w:r>
        <w:rPr>
          <w:b/>
        </w:rPr>
        <w:t>Introduction</w:t>
      </w:r>
    </w:p>
    <w:p w14:paraId="2D83B695" w14:textId="77777777" w:rsidR="002E5437" w:rsidRDefault="00D06E78">
      <w:pPr>
        <w:pStyle w:val="BodyText"/>
      </w:pPr>
      <w:r>
        <w:t xml:space="preserve">Understanding the processes that control population dynamics in wild populations is a critical component of conservation and management but is frequently limited by missing demographic information, uncertainty, and temporally or spatially misaligned datasets (Schaub &amp; Abadi 2011, </w:t>
      </w:r>
      <w:proofErr w:type="spellStart"/>
      <w:r>
        <w:t>Zipkin</w:t>
      </w:r>
      <w:proofErr w:type="spellEnd"/>
      <w:r>
        <w:t xml:space="preserve"> &amp; Saunders 2017). Integrated population models (IPMs; </w:t>
      </w:r>
      <w:proofErr w:type="spellStart"/>
      <w:r>
        <w:t>Besbeas</w:t>
      </w:r>
      <w:proofErr w:type="spellEnd"/>
      <w:r>
        <w:t xml:space="preserve"> et al. 2002, Brooks et al. 2004) are an increasingly popular tool in ecology that can help overcome these limitations by combining disparate datasets in a single, unified analysis (Schaub &amp; Abadi 2011). This approach can provide several advantages, such as improved precision (Schaub et al. 2007, </w:t>
      </w:r>
      <w:proofErr w:type="spellStart"/>
      <w:r>
        <w:t>Tavecchia</w:t>
      </w:r>
      <w:proofErr w:type="spellEnd"/>
      <w:r>
        <w:t xml:space="preserve"> 2009, Abadi et al. 2010) and the estimation of parameters that would otherwise be unidentifiable (</w:t>
      </w:r>
      <w:proofErr w:type="spellStart"/>
      <w:r>
        <w:t>Besbeas</w:t>
      </w:r>
      <w:proofErr w:type="spellEnd"/>
      <w:r>
        <w:t xml:space="preserve"> 2005, Schaub et al. 2007, Veran &amp; </w:t>
      </w:r>
      <w:proofErr w:type="spellStart"/>
      <w:r>
        <w:t>Lebreton</w:t>
      </w:r>
      <w:proofErr w:type="spellEnd"/>
      <w:r>
        <w:t xml:space="preserve"> 2008), which is often the case for key demographic rates such as recruitment or immigration. These advances have practical benefits for resource managers that must make decisions based on limited available information. As IPMs become more widely used, however, it is critical that they are robustly evaluated.</w:t>
      </w:r>
    </w:p>
    <w:p w14:paraId="31004A78" w14:textId="6C0AD5E3" w:rsidR="002E5437" w:rsidRDefault="00D06E78">
      <w:pPr>
        <w:pStyle w:val="BodyText"/>
      </w:pPr>
      <w:r>
        <w:t xml:space="preserve">Since the introduction of IPMs to </w:t>
      </w:r>
      <w:r w:rsidR="00E60DEE">
        <w:t xml:space="preserve">wildlife </w:t>
      </w:r>
      <w:r>
        <w:t xml:space="preserve">ecology in the early 2000s and following the work of </w:t>
      </w:r>
      <w:proofErr w:type="spellStart"/>
      <w:r>
        <w:t>Besbeas</w:t>
      </w:r>
      <w:proofErr w:type="spellEnd"/>
      <w:r>
        <w:t xml:space="preserve"> and colleagues with passerines (</w:t>
      </w:r>
      <w:proofErr w:type="spellStart"/>
      <w:r>
        <w:t>Besbeas</w:t>
      </w:r>
      <w:proofErr w:type="spellEnd"/>
      <w:r>
        <w:t xml:space="preserve"> et al. 2002, 2005), the common approach has been to estimate parameters by combining mark-recapture and abundance data into a joint likelihood. Researchers have since expanded the use of IPMs to include a variety of taxa (e.g., bats </w:t>
      </w:r>
      <w:r>
        <w:rPr>
          <w:i/>
        </w:rPr>
        <w:t xml:space="preserve">Rhinolophus </w:t>
      </w:r>
      <w:proofErr w:type="spellStart"/>
      <w:r>
        <w:rPr>
          <w:i/>
        </w:rPr>
        <w:t>ferrumequinum</w:t>
      </w:r>
      <w:proofErr w:type="spellEnd"/>
      <w:r>
        <w:t xml:space="preserve"> (Schaub et al. 2007); Svalbard reindeer </w:t>
      </w:r>
      <w:r>
        <w:rPr>
          <w:i/>
        </w:rPr>
        <w:t xml:space="preserve">Rangifer </w:t>
      </w:r>
      <w:proofErr w:type="spellStart"/>
      <w:r>
        <w:rPr>
          <w:i/>
        </w:rPr>
        <w:t>tarandus</w:t>
      </w:r>
      <w:proofErr w:type="spellEnd"/>
      <w:r>
        <w:rPr>
          <w:i/>
        </w:rPr>
        <w:t xml:space="preserve"> </w:t>
      </w:r>
      <w:proofErr w:type="spellStart"/>
      <w:r>
        <w:rPr>
          <w:i/>
        </w:rPr>
        <w:t>platyrhynchus</w:t>
      </w:r>
      <w:proofErr w:type="spellEnd"/>
      <w:r>
        <w:t xml:space="preserve"> (Lee et al. 2015)</w:t>
      </w:r>
      <w:r w:rsidR="00E60DEE">
        <w:t>;</w:t>
      </w:r>
      <w:r>
        <w:t xml:space="preserve"> Antarctic toothfish </w:t>
      </w:r>
      <w:proofErr w:type="spellStart"/>
      <w:r>
        <w:rPr>
          <w:i/>
        </w:rPr>
        <w:t>Dissostichus</w:t>
      </w:r>
      <w:proofErr w:type="spellEnd"/>
      <w:r>
        <w:rPr>
          <w:i/>
        </w:rPr>
        <w:t xml:space="preserve"> </w:t>
      </w:r>
      <w:proofErr w:type="spellStart"/>
      <w:r>
        <w:rPr>
          <w:i/>
        </w:rPr>
        <w:t>mawsoni</w:t>
      </w:r>
      <w:proofErr w:type="spellEnd"/>
      <w:r>
        <w:t xml:space="preserve"> (</w:t>
      </w:r>
      <w:proofErr w:type="spellStart"/>
      <w:r>
        <w:t>Mormede</w:t>
      </w:r>
      <w:proofErr w:type="spellEnd"/>
      <w:r>
        <w:t xml:space="preserve"> et al. 2019)</w:t>
      </w:r>
      <w:r w:rsidR="00E60DEE">
        <w:t>;</w:t>
      </w:r>
      <w:r>
        <w:t xml:space="preserve"> wild boar </w:t>
      </w:r>
      <w:proofErr w:type="spellStart"/>
      <w:r>
        <w:rPr>
          <w:i/>
        </w:rPr>
        <w:t>Sus</w:t>
      </w:r>
      <w:proofErr w:type="spellEnd"/>
      <w:r>
        <w:rPr>
          <w:i/>
        </w:rPr>
        <w:t xml:space="preserve"> </w:t>
      </w:r>
      <w:proofErr w:type="spellStart"/>
      <w:r>
        <w:rPr>
          <w:i/>
        </w:rPr>
        <w:t>scrofa</w:t>
      </w:r>
      <w:proofErr w:type="spellEnd"/>
      <w:r>
        <w:t xml:space="preserve"> (</w:t>
      </w:r>
      <w:proofErr w:type="spellStart"/>
      <w:r>
        <w:t>Gamelon</w:t>
      </w:r>
      <w:proofErr w:type="spellEnd"/>
      <w:r>
        <w:t xml:space="preserve"> et al. 2019)). Applications have also been developed to estimate transition probabilities within multi-state and multi-site systems (McCrea et al. 2012), evaluate management efficacy and trade-offs (Cruz et al. 2018), and to estimate the effects of environmental processes and stochasticity on demography (</w:t>
      </w:r>
      <w:proofErr w:type="spellStart"/>
      <w:r>
        <w:t>Oppel</w:t>
      </w:r>
      <w:proofErr w:type="spellEnd"/>
      <w:r>
        <w:t xml:space="preserve"> et al. 2014, Woodworth et al. 2017). This proliferation of integrated population modeling has occurred despite a relatively poor understanding of how to assess goodness of fit for the joint likelihood. Additionally, the limitations of the IPM framework are still underexplored, particularly in situations where available data are sparse, of poor quality, or when data to inform specific parameters are entirely absent (i.e., most field studies may have count surveys, but not all have data informing both recruitment and survival).</w:t>
      </w:r>
    </w:p>
    <w:p w14:paraId="7335BD59" w14:textId="4AA995EA" w:rsidR="002E5437" w:rsidRDefault="00D06E78">
      <w:pPr>
        <w:pStyle w:val="BodyText"/>
      </w:pPr>
      <w:r>
        <w:t xml:space="preserve">Data simulation studies provide an avenue for robust evaluations of the IPM framework, but few such studies exist. Those that have used data simulation largely focus on (1) proof of concept (i.e., improved precision and reduced bias of parameter estimation) or (2) violation of assumptions within the subcomponent models (i.e., marker-induced bias or heterogeneity in survival) or the joint likelihood (i.e., dataset independence). In the former, IPMs generally have led to improved precision and unbiased estimates of parameters that would otherwise be unidentifiable using traditional approaches (McCrea et al. 2010, Chandler &amp; Clark 2014, Schaub &amp; Fletcher 2015, Bled et al. 2017, </w:t>
      </w:r>
      <w:proofErr w:type="spellStart"/>
      <w:r>
        <w:t>Ahrestani</w:t>
      </w:r>
      <w:proofErr w:type="spellEnd"/>
      <w:r>
        <w:t xml:space="preserve"> et al. 2017, Bowler et al. 2019), though not always depending on sample sizes, dominance of one dataset over another, or the likelihood structures (</w:t>
      </w:r>
      <w:proofErr w:type="spellStart"/>
      <w:r w:rsidR="00DA2973">
        <w:t>Ahrestani</w:t>
      </w:r>
      <w:proofErr w:type="spellEnd"/>
      <w:r w:rsidR="00DA2973">
        <w:t xml:space="preserve"> et al. </w:t>
      </w:r>
      <w:r w:rsidR="00DA2973">
        <w:lastRenderedPageBreak/>
        <w:t>2017</w:t>
      </w:r>
      <w:r>
        <w:t>). In examining the effects of violating model assumptions on bias and precision, results have been mixed and again largely depend on sample sizes, effect sizes, parameterization, and the dominance of given datasets. In some cases, dependence across datasets result</w:t>
      </w:r>
      <w:r w:rsidR="0084109C">
        <w:t>ed</w:t>
      </w:r>
      <w:r>
        <w:t xml:space="preserve"> in biased estimates or at least overly optimistic estimates of uncertainty (Goodman et al. 2004, </w:t>
      </w:r>
      <w:proofErr w:type="spellStart"/>
      <w:r>
        <w:t>Besbeas</w:t>
      </w:r>
      <w:proofErr w:type="spellEnd"/>
      <w:r>
        <w:t xml:space="preserve"> et al. 2009) while in others</w:t>
      </w:r>
      <w:r w:rsidR="0084109C">
        <w:t>,</w:t>
      </w:r>
      <w:r>
        <w:t xml:space="preserve"> the effects on bias and precision </w:t>
      </w:r>
      <w:r w:rsidR="0084109C">
        <w:t xml:space="preserve">were </w:t>
      </w:r>
      <w:r>
        <w:t xml:space="preserve">minimal (Abadi et al. 2010, Schaub &amp; Fletcher 2015, </w:t>
      </w:r>
      <w:proofErr w:type="spellStart"/>
      <w:r>
        <w:t>Weegman</w:t>
      </w:r>
      <w:proofErr w:type="spellEnd"/>
      <w:r>
        <w:t xml:space="preserve"> et al. 2020). </w:t>
      </w:r>
      <w:proofErr w:type="spellStart"/>
      <w:r>
        <w:t>Riecke</w:t>
      </w:r>
      <w:proofErr w:type="spellEnd"/>
      <w:r>
        <w:t xml:space="preserve"> et al. (2019) found that estimates for previously unidentifiable parameters were highly sensitive to violations of mark-recapture model assumptions (i.e., marker-induced bias and survival heterogeneity).</w:t>
      </w:r>
    </w:p>
    <w:p w14:paraId="6FAE04C7" w14:textId="22A55997" w:rsidR="002E5437" w:rsidRDefault="00D06E78">
      <w:pPr>
        <w:pStyle w:val="BodyText"/>
      </w:pPr>
      <w:r>
        <w:t xml:space="preserve">These studies motivate further examination of the strengths and weaknesses </w:t>
      </w:r>
      <w:r w:rsidR="00F26A5E">
        <w:t xml:space="preserve">of </w:t>
      </w:r>
      <w:r>
        <w:t>IPMs across a range of model structures and data landscapes, particularly when certain demographic rates are not directly informed by data or when a data source is sparse, biased, or highly uncertain. This type of analysis has been conducted for species distribution models in a few cases (Farr et al. 2020, Simmonds et al. 2020), but has not yet been rigorously explored for an IPM. Through a simulation analysis, we aim to gain insights about this statistical framework, particularly as applied to a passerine bird life history. We assume all model assumptions are met and compare parameter estimation for a traditional IPM with data informing abundance (count data), survival (mark-recapture data), and reproductive output (nest monitoring data) to situations when either of the latter two datasets are omitted. In each of these three cases, we also examine parameter estimation when juvenile survival varies and under situations with low detection to reflect a higher degree of uncertainty. In future iterations of this analysis, we plan to compare model performance in situations when datasets informing survival and reproduction are not only uncertain (low detection probability) but also sparse (reduced survey frequency), and the effects of having lower or variable adult survival and reproductive output.</w:t>
      </w:r>
    </w:p>
    <w:p w14:paraId="01FA3378" w14:textId="79AD71E1" w:rsidR="002E5437" w:rsidRDefault="00D06E78">
      <w:pPr>
        <w:pStyle w:val="BodyText"/>
      </w:pPr>
      <w:r>
        <w:t xml:space="preserve">Through this study, we will identify scenarios where IPMs may not lead to improved precision or return unbiased estimates of parameters that would otherwise be unidentifiable when certain datasets are excluded. In doing so, we will refine our understanding of the mechanisms underlying IPMs and can better identify when they may serve as a useful tool or might not be necessary or warrant the collection of additional data. Improving our understanding of the strengths and weaknesses of the IPM framework can provide helpful insights for the design and implementation of field survey programs </w:t>
      </w:r>
      <w:r w:rsidR="0084109C">
        <w:t>that</w:t>
      </w:r>
      <w:r>
        <w:t xml:space="preserve"> make</w:t>
      </w:r>
      <w:r w:rsidR="0084109C">
        <w:t xml:space="preserve"> efficient</w:t>
      </w:r>
      <w:r>
        <w:t xml:space="preserve"> use of limited resources to inform management </w:t>
      </w:r>
      <w:r w:rsidR="00B95179">
        <w:t>decisions</w:t>
      </w:r>
      <w:r w:rsidR="007E4111">
        <w:t>. This is particularly important for efforts</w:t>
      </w:r>
      <w:r>
        <w:t xml:space="preserve"> aimed at monitoring or recovering species that are deemed ecosystem indicators or depleted and in need of conservation intervention.</w:t>
      </w:r>
    </w:p>
    <w:p w14:paraId="769528BB" w14:textId="77777777" w:rsidR="002E5437" w:rsidRDefault="00D06E78">
      <w:pPr>
        <w:pStyle w:val="BodyText"/>
      </w:pPr>
      <w:r>
        <w:rPr>
          <w:b/>
        </w:rPr>
        <w:t>Methods</w:t>
      </w:r>
    </w:p>
    <w:p w14:paraId="5348793B" w14:textId="2355C41A" w:rsidR="002E5437" w:rsidRDefault="00D06E78">
      <w:pPr>
        <w:pStyle w:val="BodyText"/>
      </w:pPr>
      <w:r>
        <w:rPr>
          <w:i/>
        </w:rPr>
        <w:t>Data simulation: life history</w:t>
      </w:r>
      <w:r>
        <w:br/>
        <w:t xml:space="preserve">We simulated data for an avian species assuming life history stages and traits of a typical passerine. Our simulated hypothetical species has two age-classes: </w:t>
      </w:r>
      <w:r w:rsidR="008B387C">
        <w:t xml:space="preserve">juveniles (individuals that hatched in the previous year) and adults (individuals in their second year of breeding and older). </w:t>
      </w:r>
      <w:r>
        <w:t>Each age class has a unique survival rate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ϕ</m:t>
            </m:r>
          </m:e>
          <m:sub>
            <m:r>
              <w:rPr>
                <w:rFonts w:ascii="Cambria Math" w:hAnsi="Cambria Math"/>
              </w:rPr>
              <m:t>ad</m:t>
            </m:r>
          </m:sub>
        </m:sSub>
      </m:oMath>
      <w:r>
        <w:t xml:space="preserve">) and adults produce new chicks at fecundity rate </w:t>
      </w:r>
      <w:r>
        <w:rPr>
          <w:i/>
        </w:rPr>
        <w:t>f</w:t>
      </w:r>
      <w:r>
        <w:t xml:space="preserve">, and those chicks survive to be juveniles at rate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w:t>
      </w:r>
      <w:r w:rsidR="008B387C" w:rsidRPr="008B387C">
        <w:t xml:space="preserve">Juveniles also breed, producing chicks at rate </w:t>
      </w:r>
      <m:oMath>
        <m:r>
          <w:rPr>
            <w:rFonts w:ascii="Cambria Math" w:hAnsi="Cambria Math"/>
          </w:rPr>
          <m:t>f×</m:t>
        </m:r>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(Fig 1). We assume an annual breeding cycle, with females nesting once per year. The period from nest initiation to fledging is 30 days</w:t>
      </w:r>
      <w:r w:rsidR="00104B9E">
        <w:t>,</w:t>
      </w:r>
      <w:r>
        <w:t xml:space="preserve"> </w:t>
      </w:r>
      <w:r>
        <w:lastRenderedPageBreak/>
        <w:t>regardless of clutch size. We assume that survival and fecundity are constant across years and individuals.</w:t>
      </w:r>
    </w:p>
    <w:p w14:paraId="5A90EE07" w14:textId="6F0F7187" w:rsidR="00201B0D" w:rsidRDefault="00D06E78" w:rsidP="008E7702">
      <w:pPr>
        <w:pStyle w:val="BodyText"/>
      </w:pPr>
      <w:r>
        <w:t xml:space="preserve">As is </w:t>
      </w:r>
      <w:r w:rsidR="008B387C">
        <w:t xml:space="preserve">often </w:t>
      </w:r>
      <w:r>
        <w:t xml:space="preserve">the convention, we use a female-only model because we assume that the population dynamics of our species are driven largely by female abundance and demography. All demographic rates are assumed constant over a 10-year study period. The population is quite </w:t>
      </w:r>
      <w:r w:rsidR="00EC46E8">
        <w:t>small,</w:t>
      </w:r>
      <w:r>
        <w:t xml:space="preserve"> and the survey extends across the entire range,</w:t>
      </w:r>
      <w:r w:rsidR="00104B9E">
        <w:t xml:space="preserve"> and we</w:t>
      </w:r>
      <w:r>
        <w:t xml:space="preserve"> therefore assume no immigration or emigration.</w:t>
      </w:r>
      <w:r w:rsidR="008E7702">
        <w:t xml:space="preserve"> </w:t>
      </w:r>
    </w:p>
    <w:p w14:paraId="0508580A" w14:textId="01603DC9" w:rsidR="00053F0E" w:rsidRDefault="00053F0E" w:rsidP="00201B0D">
      <w:pPr>
        <w:pStyle w:val="Caption"/>
        <w:jc w:val="center"/>
      </w:pPr>
    </w:p>
    <w:p w14:paraId="5CC686D2" w14:textId="71839F64" w:rsidR="00EC46E8" w:rsidRDefault="00EC46E8" w:rsidP="00201B0D">
      <w:pPr>
        <w:pStyle w:val="Caption"/>
        <w:jc w:val="center"/>
      </w:pPr>
      <w:r>
        <w:rPr>
          <w:noProof/>
        </w:rPr>
        <w:drawing>
          <wp:inline distT="0" distB="0" distL="0" distR="0" wp14:anchorId="6186AA2D" wp14:editId="3C81C230">
            <wp:extent cx="2444389" cy="119786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4389" cy="1197864"/>
                    </a:xfrm>
                    <a:prstGeom prst="rect">
                      <a:avLst/>
                    </a:prstGeom>
                  </pic:spPr>
                </pic:pic>
              </a:graphicData>
            </a:graphic>
          </wp:inline>
        </w:drawing>
      </w:r>
    </w:p>
    <w:p w14:paraId="48BF9362" w14:textId="061775FE" w:rsidR="00EC46E8" w:rsidRDefault="00EC46E8" w:rsidP="00EC46E8">
      <w:pPr>
        <w:pStyle w:val="Caption"/>
        <w:jc w:val="center"/>
      </w:pPr>
      <w:r>
        <w:t xml:space="preserve">Figure </w:t>
      </w:r>
      <w:r w:rsidR="006F6366">
        <w:fldChar w:fldCharType="begin"/>
      </w:r>
      <w:r w:rsidR="006F6366">
        <w:instrText xml:space="preserve"> SEQ Figure \* ARABIC </w:instrText>
      </w:r>
      <w:r w:rsidR="006F6366">
        <w:fldChar w:fldCharType="separate"/>
      </w:r>
      <w:r>
        <w:rPr>
          <w:noProof/>
        </w:rPr>
        <w:t>1</w:t>
      </w:r>
      <w:r w:rsidR="006F6366">
        <w:rPr>
          <w:noProof/>
        </w:rPr>
        <w:fldChar w:fldCharType="end"/>
      </w:r>
      <w:r>
        <w:t>: Female only life-cycle diagram for the described species showing two age classes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ad</m:t>
            </m:r>
          </m:sub>
        </m:sSub>
      </m:oMath>
      <w:r>
        <w:t>) with a single fecundity parameter (</w:t>
      </w:r>
      <m:oMath>
        <m:r>
          <w:rPr>
            <w:rFonts w:ascii="Cambria Math" w:hAnsi="Cambria Math"/>
          </w:rPr>
          <m:t>f</m:t>
        </m:r>
      </m:oMath>
      <w:r>
        <w:t>), and survival parameters for each age class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ϕ</m:t>
            </m:r>
          </m:e>
          <m:sub>
            <m:r>
              <w:rPr>
                <w:rFonts w:ascii="Cambria Math" w:hAnsi="Cambria Math"/>
              </w:rPr>
              <m:t>ad</m:t>
            </m:r>
          </m:sub>
        </m:sSub>
      </m:oMath>
      <w:r>
        <w:t xml:space="preserve">). </w:t>
      </w:r>
    </w:p>
    <w:p w14:paraId="3C4057B0" w14:textId="77777777" w:rsidR="00EC46E8" w:rsidRDefault="00EC46E8" w:rsidP="00201B0D">
      <w:pPr>
        <w:pStyle w:val="Caption"/>
        <w:jc w:val="center"/>
      </w:pPr>
    </w:p>
    <w:p w14:paraId="2C2634C7" w14:textId="77777777" w:rsidR="00053F0E" w:rsidRDefault="00053F0E">
      <w:pPr>
        <w:pStyle w:val="BodyText"/>
      </w:pPr>
    </w:p>
    <w:p w14:paraId="50C37229" w14:textId="77777777" w:rsidR="002E5437" w:rsidRDefault="00D06E78">
      <w:pPr>
        <w:pStyle w:val="BodyText"/>
      </w:pPr>
      <w:r>
        <w:rPr>
          <w:i/>
        </w:rPr>
        <w:t>Model framework and assumptions</w:t>
      </w:r>
    </w:p>
    <w:p w14:paraId="74FF6DC0" w14:textId="06BACD6E" w:rsidR="002E5437" w:rsidRDefault="00D06E78">
      <w:pPr>
        <w:pStyle w:val="BodyText"/>
      </w:pPr>
      <w:r>
        <w:rPr>
          <w:i/>
        </w:rPr>
        <w:t>Count model</w:t>
      </w:r>
      <w:r>
        <w:br/>
        <w:t xml:space="preserve">We simulated data such that the population is surveyed annually in a 10-year pre-breeding census. </w:t>
      </w:r>
      <w:r w:rsidR="003B1250">
        <w:t>Because c</w:t>
      </w:r>
      <w:r>
        <w:t>ount surveys are conducted three times per year in quick succession</w:t>
      </w:r>
      <w:r w:rsidR="00104B9E">
        <w:t>,</w:t>
      </w:r>
      <w:r>
        <w:t xml:space="preserve"> we assume the population is closed between secondary sampling periods. We use an N-mixture model (</w:t>
      </w:r>
      <w:proofErr w:type="spellStart"/>
      <w:r w:rsidR="00DE053B">
        <w:t>Royle</w:t>
      </w:r>
      <w:proofErr w:type="spellEnd"/>
      <w:r w:rsidR="00DE053B">
        <w:t xml:space="preserve"> 2004</w:t>
      </w:r>
      <w:r>
        <w:t xml:space="preserve">) to estimate annual abundance from these repeated counts, where we assume no individual is double counted and that individual detections are independent and occur with equal probability. The underlying state process represents the stage-specific abundance at each occasion for </w:t>
      </w:r>
      <w:r w:rsidR="00104B9E">
        <w:t>juveniles</w:t>
      </w:r>
      <w:r>
        <w:t xml:space="preserve">,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oMath>
      <w:r>
        <w:t xml:space="preserve"> </w:t>
      </w:r>
      <w:r w:rsidR="008B387C">
        <w:t xml:space="preserve">and </w:t>
      </w:r>
      <w:r>
        <w:t>is modeled as:</w:t>
      </w:r>
    </w:p>
    <w:p w14:paraId="06225D4F" w14:textId="77777777" w:rsidR="002E5437" w:rsidRDefault="006F6366">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1,t+1</m:t>
              </m:r>
            </m:sub>
          </m:sSub>
          <m:r>
            <w:rPr>
              <w:rFonts w:ascii="Cambria Math" w:hAnsi="Cambria Math"/>
            </w:rPr>
            <m:t>∼</m:t>
          </m:r>
          <m:r>
            <m:rPr>
              <m:nor/>
            </m:rPr>
            <m:t>Poisson</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ad,t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ad</m:t>
              </m:r>
            </m:sub>
          </m:sSub>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r>
            <w:rPr>
              <w:rFonts w:ascii="Cambria Math" w:hAnsi="Cambria Math"/>
            </w:rPr>
            <m:t>)</m:t>
          </m:r>
        </m:oMath>
      </m:oMathPara>
    </w:p>
    <w:p w14:paraId="6F624B3B" w14:textId="77777777" w:rsidR="002E5437" w:rsidRDefault="00D06E78">
      <w:pPr>
        <w:pStyle w:val="FirstParagraph"/>
      </w:pPr>
      <w:r>
        <w:br/>
        <w:t xml:space="preserve">where the number of juveniles in the next year, </w:t>
      </w:r>
      <m:oMath>
        <m:sSub>
          <m:sSubPr>
            <m:ctrlPr>
              <w:rPr>
                <w:rFonts w:ascii="Cambria Math" w:hAnsi="Cambria Math"/>
              </w:rPr>
            </m:ctrlPr>
          </m:sSubPr>
          <m:e>
            <m:r>
              <w:rPr>
                <w:rFonts w:ascii="Cambria Math" w:hAnsi="Cambria Math"/>
              </w:rPr>
              <m:t>N</m:t>
            </m:r>
          </m:e>
          <m:sub>
            <m:r>
              <w:rPr>
                <w:rFonts w:ascii="Cambria Math" w:hAnsi="Cambria Math"/>
              </w:rPr>
              <m:t>1,t+1</m:t>
            </m:r>
          </m:sub>
        </m:sSub>
      </m:oMath>
      <w:r>
        <w:t xml:space="preserve">, is estimated using a Poisson distribution with probability based on the sum of stage-specific individuals at time </w:t>
      </w:r>
      <m:oMath>
        <m:r>
          <w:rPr>
            <w:rFonts w:ascii="Cambria Math" w:hAnsi="Cambria Math"/>
          </w:rPr>
          <m:t>t</m:t>
        </m:r>
      </m:oMath>
      <w:r>
        <w:t xml:space="preserve"> that survive (</w:t>
      </w:r>
      <m:oMath>
        <m:sSub>
          <m:sSubPr>
            <m:ctrlPr>
              <w:rPr>
                <w:rFonts w:ascii="Cambria Math" w:hAnsi="Cambria Math"/>
              </w:rPr>
            </m:ctrlPr>
          </m:sSubPr>
          <m:e>
            <m:r>
              <w:rPr>
                <w:rFonts w:ascii="Cambria Math" w:hAnsi="Cambria Math"/>
              </w:rPr>
              <m:t>ϕ</m:t>
            </m:r>
          </m:e>
          <m:sub>
            <m:r>
              <w:rPr>
                <w:rFonts w:ascii="Cambria Math" w:hAnsi="Cambria Math"/>
              </w:rPr>
              <m:t>1,ad</m:t>
            </m:r>
          </m:sub>
        </m:sSub>
      </m:oMath>
      <w:r>
        <w:t>) and reproduce (</w:t>
      </w:r>
      <m:oMath>
        <m:r>
          <w:rPr>
            <w:rFonts w:ascii="Cambria Math" w:hAnsi="Cambria Math"/>
          </w:rPr>
          <m:t>f</m:t>
        </m:r>
      </m:oMath>
      <w:r>
        <w:t>).</w:t>
      </w:r>
    </w:p>
    <w:p w14:paraId="28ED04BB" w14:textId="79E5E579" w:rsidR="002E5437" w:rsidRDefault="00D06E78">
      <w:pPr>
        <w:pStyle w:val="BodyText"/>
      </w:pPr>
      <w:r>
        <w:t xml:space="preserve">A binomial distribution is used to estimate the number of adults in the next year, </w:t>
      </w:r>
      <m:oMath>
        <m:sSub>
          <m:sSubPr>
            <m:ctrlPr>
              <w:rPr>
                <w:rFonts w:ascii="Cambria Math" w:hAnsi="Cambria Math"/>
              </w:rPr>
            </m:ctrlPr>
          </m:sSubPr>
          <m:e>
            <m:r>
              <w:rPr>
                <w:rFonts w:ascii="Cambria Math" w:hAnsi="Cambria Math"/>
              </w:rPr>
              <m:t>N</m:t>
            </m:r>
          </m:e>
          <m:sub>
            <m:r>
              <w:rPr>
                <w:rFonts w:ascii="Cambria Math" w:hAnsi="Cambria Math"/>
              </w:rPr>
              <m:t>ad,t+1</m:t>
            </m:r>
          </m:sub>
        </m:sSub>
      </m:oMath>
      <w:r>
        <w:t xml:space="preserve"> based on the stage-specific survival and abundance in the previous occasion</w:t>
      </w:r>
      <w:r w:rsidR="008B387C">
        <w:t xml:space="preserve"> </w:t>
      </w:r>
      <w:r w:rsidR="008B387C">
        <w:rPr>
          <w:i/>
        </w:rPr>
        <w:t>t</w:t>
      </w:r>
      <w:r>
        <w:t>:</w:t>
      </w:r>
    </w:p>
    <w:p w14:paraId="27DB3BCC" w14:textId="77777777" w:rsidR="002E5437" w:rsidRDefault="006F6366">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ad,t+1</m:t>
              </m:r>
            </m:sub>
          </m:sSub>
          <m:r>
            <w:rPr>
              <w:rFonts w:ascii="Cambria Math" w:hAnsi="Cambria Math"/>
            </w:rPr>
            <m:t>∼</m:t>
          </m:r>
          <m:r>
            <m:rPr>
              <m:nor/>
            </m:rPr>
            <m:t>Binomial</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ad,t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ad,t</m:t>
              </m:r>
            </m:sub>
          </m:sSub>
          <m:r>
            <w:rPr>
              <w:rFonts w:ascii="Cambria Math" w:hAnsi="Cambria Math"/>
            </w:rPr>
            <m:t>)</m:t>
          </m:r>
        </m:oMath>
      </m:oMathPara>
    </w:p>
    <w:p w14:paraId="2091CDFD" w14:textId="77777777" w:rsidR="002E5437" w:rsidRDefault="00D06E78">
      <w:pPr>
        <w:pStyle w:val="FirstParagraph"/>
      </w:pPr>
      <w:r>
        <w:lastRenderedPageBreak/>
        <w:t xml:space="preserve">The observation process model for the count data in each year </w:t>
      </w:r>
      <m:oMath>
        <m:r>
          <w:rPr>
            <w:rFonts w:ascii="Cambria Math" w:hAnsi="Cambria Math"/>
          </w:rPr>
          <m:t>t</m:t>
        </m:r>
      </m:oMath>
      <w:r>
        <w:t xml:space="preserve"> is modeled using a binomial distribution:</w:t>
      </w:r>
    </w:p>
    <w:p w14:paraId="14982453" w14:textId="77777777" w:rsidR="002E5437" w:rsidRDefault="006F6366">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m:rPr>
              <m:nor/>
            </m:rPr>
            <m:t>Binomial</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tot,t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oMath>
      </m:oMathPara>
    </w:p>
    <w:p w14:paraId="2BB64D95" w14:textId="77777777" w:rsidR="002E5437" w:rsidRDefault="00D06E78">
      <w:pPr>
        <w:pStyle w:val="FirstParagraph"/>
      </w:pPr>
      <w:r>
        <w:t xml:space="preserve">with </w:t>
      </w:r>
      <m:oMath>
        <m:sSub>
          <m:sSubPr>
            <m:ctrlPr>
              <w:rPr>
                <w:rFonts w:ascii="Cambria Math" w:hAnsi="Cambria Math"/>
              </w:rPr>
            </m:ctrlPr>
          </m:sSubPr>
          <m:e>
            <m:r>
              <w:rPr>
                <w:rFonts w:ascii="Cambria Math" w:hAnsi="Cambria Math"/>
              </w:rPr>
              <m:t>N</m:t>
            </m:r>
          </m:e>
          <m:sub>
            <m:r>
              <w:rPr>
                <w:rFonts w:ascii="Cambria Math" w:hAnsi="Cambria Math"/>
              </w:rPr>
              <m:t>tot,t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ad,t</m:t>
            </m:r>
          </m:sub>
        </m:sSub>
      </m:oMath>
      <w:r>
        <w:t xml:space="preserve">. The observed counts in each year,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are assumed to be binomially distributed with a sample size of </w:t>
      </w:r>
      <m:oMath>
        <m:sSub>
          <m:sSubPr>
            <m:ctrlPr>
              <w:rPr>
                <w:rFonts w:ascii="Cambria Math" w:hAnsi="Cambria Math"/>
              </w:rPr>
            </m:ctrlPr>
          </m:sSubPr>
          <m:e>
            <m:r>
              <w:rPr>
                <w:rFonts w:ascii="Cambria Math" w:hAnsi="Cambria Math"/>
              </w:rPr>
              <m:t>N</m:t>
            </m:r>
          </m:e>
          <m:sub>
            <m:r>
              <w:rPr>
                <w:rFonts w:ascii="Cambria Math" w:hAnsi="Cambria Math"/>
              </w:rPr>
              <m:t>tot,t</m:t>
            </m:r>
          </m:sub>
        </m:sSub>
      </m:oMath>
      <w:r>
        <w:t xml:space="preserve"> and probability of detection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The probability of detection for the observation process,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of the count model is assumed constant across years and surveys. The survey detection probability was modeled on the probability scale using a uniform prior, </w:t>
      </w:r>
      <m:oMath>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r>
          <m:rPr>
            <m:nor/>
          </m:rPr>
          <m:t>Uniform</m:t>
        </m:r>
        <m:r>
          <w:rPr>
            <w:rFonts w:ascii="Cambria Math" w:hAnsi="Cambria Math"/>
          </w:rPr>
          <m:t>(0,1)</m:t>
        </m:r>
      </m:oMath>
      <w:r>
        <w:t>.</w:t>
      </w:r>
    </w:p>
    <w:p w14:paraId="0BCB2745" w14:textId="03A1588F" w:rsidR="002E5437" w:rsidRDefault="00D06E78">
      <w:pPr>
        <w:pStyle w:val="BodyText"/>
      </w:pPr>
      <w:r>
        <w:t xml:space="preserve">The likelihood of the N-mixture abundance model is the product of the state and observation process models: </w:t>
      </w:r>
      <m:oMath>
        <m:sSub>
          <m:sSubPr>
            <m:ctrlPr>
              <w:rPr>
                <w:rFonts w:ascii="Cambria Math" w:hAnsi="Cambria Math"/>
              </w:rPr>
            </m:ctrlPr>
          </m:sSubPr>
          <m:e>
            <m:r>
              <w:rPr>
                <w:rFonts w:ascii="Cambria Math" w:hAnsi="Cambria Math"/>
              </w:rPr>
              <m:t>L</m:t>
            </m:r>
          </m:e>
          <m:sub>
            <m:r>
              <w:rPr>
                <w:rFonts w:ascii="Cambria Math" w:hAnsi="Cambria Math"/>
              </w:rPr>
              <m:t>Abundance</m:t>
            </m:r>
          </m:sub>
        </m:sSub>
        <m:r>
          <w:rPr>
            <w:rFonts w:ascii="Cambria Math" w:hAnsi="Cambria Math"/>
          </w:rPr>
          <m:t>(</m:t>
        </m:r>
        <m:r>
          <m:rPr>
            <m:nor/>
          </m:rPr>
          <m:t>y</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ad</m:t>
            </m:r>
          </m:sub>
        </m:sSub>
        <m:r>
          <w:rPr>
            <w:rFonts w:ascii="Cambria Math" w:hAnsi="Cambria Math"/>
          </w:rPr>
          <m:t>,f)</m:t>
        </m:r>
      </m:oMath>
      <w:r w:rsidR="008B387C">
        <w:t>.</w:t>
      </w:r>
    </w:p>
    <w:p w14:paraId="0BAE4940" w14:textId="77777777" w:rsidR="002E5437" w:rsidRDefault="00D06E78" w:rsidP="00D17FF5">
      <w:pPr>
        <w:pStyle w:val="BodyText"/>
        <w:spacing w:after="0"/>
      </w:pPr>
      <w:r>
        <w:rPr>
          <w:i/>
        </w:rPr>
        <w:t>Nest success productivity model</w:t>
      </w:r>
    </w:p>
    <w:p w14:paraId="383CE528" w14:textId="6C9C88B7" w:rsidR="002E5437" w:rsidRDefault="00D06E78" w:rsidP="00D17FF5">
      <w:pPr>
        <w:pStyle w:val="BodyText"/>
        <w:spacing w:before="0"/>
      </w:pPr>
      <w:r>
        <w:t xml:space="preserve">In this simulation, nests are monitored according to the procedures described in Martin and </w:t>
      </w:r>
      <w:proofErr w:type="spellStart"/>
      <w:r>
        <w:t>Geupel</w:t>
      </w:r>
      <w:proofErr w:type="spellEnd"/>
      <w:r>
        <w:t xml:space="preserve"> (1993), where adults are observed for behavioral clues that indicate nesting behavior and followed until a nest is found. After locating a nest, it is revisited every </w:t>
      </w:r>
      <w:r w:rsidR="00AA150E">
        <w:t>three</w:t>
      </w:r>
      <w:r>
        <w:t xml:space="preserve"> days to check its status until it either fledges or fails. We assume no state uncertainty in our nest observations, that nests can be correctly aged when first found, and that monitored nests are independent and representative of the population. We assume the daily survival probability is uniform across nest stages (</w:t>
      </w:r>
      <w:r w:rsidRPr="008B387C">
        <w:t>i.e.,</w:t>
      </w:r>
      <w:r>
        <w:t xml:space="preserve"> laying, incubating, nestlings). We estimate daily nest survival to obtain unbiased estimates for the probability of nest success </w:t>
      </w:r>
      <w:r w:rsidRPr="008B387C">
        <w:t>(i.e.,</w:t>
      </w:r>
      <w:r>
        <w:t xml:space="preserve"> at least 1 chick fledges)</w:t>
      </w:r>
      <w:r w:rsidR="00EC46E8">
        <w:t>.</w:t>
      </w:r>
      <w:r>
        <w:t xml:space="preserve"> We use a Poisson model to estimate the number of chicks fledged conditional on a nest being successful</w:t>
      </w:r>
      <w:r w:rsidR="008B387C">
        <w:t>:</w:t>
      </w:r>
    </w:p>
    <w:p w14:paraId="132FFF42" w14:textId="77777777" w:rsidR="002E5437" w:rsidRDefault="006F6366">
      <w:pPr>
        <w:pStyle w:val="BodyText"/>
      </w:pPr>
      <m:oMathPara>
        <m:oMathParaPr>
          <m:jc m:val="center"/>
        </m:oMathParaPr>
        <m:oMath>
          <m:sSub>
            <m:sSubPr>
              <m:ctrlPr>
                <w:rPr>
                  <w:rFonts w:ascii="Cambria Math" w:hAnsi="Cambria Math"/>
                </w:rPr>
              </m:ctrlPr>
            </m:sSubPr>
            <m:e>
              <m:r>
                <m:rPr>
                  <m:nor/>
                </m:rPr>
                <m:t>Fledged</m:t>
              </m:r>
            </m:e>
            <m:sub>
              <m:r>
                <w:rPr>
                  <w:rFonts w:ascii="Cambria Math" w:hAnsi="Cambria Math"/>
                </w:rPr>
                <m:t>t</m:t>
              </m:r>
            </m:sub>
          </m:sSub>
          <m:r>
            <w:rPr>
              <w:rFonts w:ascii="Cambria Math" w:hAnsi="Cambria Math"/>
            </w:rPr>
            <m:t>∼</m:t>
          </m:r>
          <m:r>
            <m:rPr>
              <m:nor/>
            </m:rPr>
            <m:t>Poisson</m:t>
          </m:r>
          <m:r>
            <w:rPr>
              <w:rFonts w:ascii="Cambria Math" w:hAnsi="Cambria Math"/>
            </w:rPr>
            <m:t>(</m:t>
          </m:r>
          <m:sSub>
            <m:sSubPr>
              <m:ctrlPr>
                <w:rPr>
                  <w:rFonts w:ascii="Cambria Math" w:hAnsi="Cambria Math"/>
                </w:rPr>
              </m:ctrlPr>
            </m:sSubPr>
            <m:e>
              <m:r>
                <w:rPr>
                  <w:rFonts w:ascii="Cambria Math" w:hAnsi="Cambria Math"/>
                </w:rPr>
                <m:t>λ</m:t>
              </m:r>
            </m:e>
            <m:sub>
              <m:r>
                <m:rPr>
                  <m:nor/>
                </m:rPr>
                <m:t>fledglings</m:t>
              </m:r>
            </m:sub>
          </m:sSub>
          <m:r>
            <w:rPr>
              <w:rFonts w:ascii="Cambria Math" w:hAnsi="Cambria Math"/>
            </w:rPr>
            <m:t>)</m:t>
          </m:r>
        </m:oMath>
      </m:oMathPara>
    </w:p>
    <w:p w14:paraId="336044A5" w14:textId="77777777" w:rsidR="002E5437" w:rsidRDefault="00D06E78">
      <w:pPr>
        <w:pStyle w:val="FirstParagraph"/>
      </w:pPr>
      <w:r>
        <w:t xml:space="preserve">The fecundity rate, </w:t>
      </w:r>
      <w:r>
        <w:rPr>
          <w:i/>
        </w:rPr>
        <w:t>f</w:t>
      </w:r>
      <w:r>
        <w:t>, is derived from the rate at which chicks fledge,</w:t>
      </w:r>
    </w:p>
    <w:p w14:paraId="0F36343A" w14:textId="77777777" w:rsidR="002E5437" w:rsidRDefault="00D06E78">
      <w:pPr>
        <w:pStyle w:val="BodyText"/>
      </w:pPr>
      <m:oMathPara>
        <m:oMathParaPr>
          <m:jc m:val="center"/>
        </m:oMathParaPr>
        <m:oMath>
          <m:r>
            <w:rPr>
              <w:rFonts w:ascii="Cambria Math" w:hAnsi="Cambria Math"/>
            </w:rPr>
            <m:t>f=</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λ</m:t>
              </m:r>
            </m:e>
            <m:sub>
              <m:r>
                <m:rPr>
                  <m:nor/>
                </m:rPr>
                <m:t>fledglings</m:t>
              </m:r>
            </m:sub>
          </m:sSub>
          <m:r>
            <w:rPr>
              <w:rFonts w:ascii="Cambria Math" w:hAnsi="Cambria Math"/>
            </w:rPr>
            <m:t>×</m:t>
          </m:r>
          <m:sSubSup>
            <m:sSubSupPr>
              <m:ctrlPr>
                <w:rPr>
                  <w:rFonts w:ascii="Cambria Math" w:hAnsi="Cambria Math"/>
                </w:rPr>
              </m:ctrlPr>
            </m:sSubSupPr>
            <m:e>
              <m:r>
                <w:rPr>
                  <w:rFonts w:ascii="Cambria Math" w:hAnsi="Cambria Math"/>
                </w:rPr>
                <m:t>ϕ</m:t>
              </m:r>
            </m:e>
            <m:sub>
              <m:r>
                <w:rPr>
                  <w:rFonts w:ascii="Cambria Math" w:hAnsi="Cambria Math"/>
                </w:rPr>
                <m:t>n</m:t>
              </m:r>
            </m:sub>
            <m:sup>
              <m:r>
                <w:rPr>
                  <w:rFonts w:ascii="Cambria Math" w:hAnsi="Cambria Math"/>
                </w:rPr>
                <m:t>30</m:t>
              </m:r>
            </m:sup>
          </m:sSubSup>
        </m:oMath>
      </m:oMathPara>
    </w:p>
    <w:p w14:paraId="2D7E5715" w14:textId="3E832A20" w:rsidR="002E5437" w:rsidRDefault="00D06E78">
      <w:pPr>
        <w:pStyle w:val="FirstParagraph"/>
      </w:pPr>
      <w:r>
        <w:t xml:space="preserve">where </w:t>
      </w:r>
      <m:oMath>
        <m:sSub>
          <m:sSubPr>
            <m:ctrlPr>
              <w:rPr>
                <w:rFonts w:ascii="Cambria Math" w:hAnsi="Cambria Math"/>
              </w:rPr>
            </m:ctrlPr>
          </m:sSubPr>
          <m:e>
            <m:r>
              <w:rPr>
                <w:rFonts w:ascii="Cambria Math" w:hAnsi="Cambria Math"/>
              </w:rPr>
              <m:t>ϕ</m:t>
            </m:r>
          </m:e>
          <m:sub>
            <m:r>
              <w:rPr>
                <w:rFonts w:ascii="Cambria Math" w:hAnsi="Cambria Math"/>
              </w:rPr>
              <m:t>n</m:t>
            </m:r>
          </m:sub>
        </m:sSub>
      </m:oMath>
      <w:r>
        <w:t xml:space="preserve"> is the nest survival probability and we assume that the maximum nest age, the number of days the nest was active</w:t>
      </w:r>
      <w:r w:rsidR="008E7702">
        <w:t>,</w:t>
      </w:r>
      <w:r>
        <w:t xml:space="preserve"> is 30. The observation process for the daily nest surveys is modeled using a Bernoulli distribution, based on daily nest survival probabilities and the state of the nest during the previous survey occasion:</w:t>
      </w:r>
    </w:p>
    <w:p w14:paraId="62DF9B71" w14:textId="77777777" w:rsidR="002E5437" w:rsidRDefault="006F6366">
      <w:pPr>
        <w:pStyle w:val="BodyText"/>
      </w:pPr>
      <m:oMathPara>
        <m:oMathParaPr>
          <m:jc m:val="center"/>
        </m:oMathParaPr>
        <m:oMath>
          <m:sSub>
            <m:sSubPr>
              <m:ctrlPr>
                <w:rPr>
                  <w:rFonts w:ascii="Cambria Math" w:hAnsi="Cambria Math"/>
                </w:rPr>
              </m:ctrlPr>
            </m:sSubPr>
            <m:e>
              <m:r>
                <m:rPr>
                  <m:nor/>
                </m:rPr>
                <m:t>NestStatus</m:t>
              </m:r>
            </m:e>
            <m:sub>
              <m:r>
                <w:rPr>
                  <w:rFonts w:ascii="Cambria Math" w:hAnsi="Cambria Math"/>
                </w:rPr>
                <m:t>n,d</m:t>
              </m:r>
            </m:sub>
          </m:sSub>
          <m:r>
            <w:rPr>
              <w:rFonts w:ascii="Cambria Math" w:hAnsi="Cambria Math"/>
            </w:rPr>
            <m:t>∼</m:t>
          </m:r>
          <m:r>
            <m:rPr>
              <m:nor/>
            </m:rPr>
            <m:t>Bernoulli</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sub>
          </m:sSub>
          <m:r>
            <w:rPr>
              <w:rFonts w:ascii="Cambria Math" w:hAnsi="Cambria Math"/>
            </w:rPr>
            <m:t>×</m:t>
          </m:r>
          <m:sSub>
            <m:sSubPr>
              <m:ctrlPr>
                <w:rPr>
                  <w:rFonts w:ascii="Cambria Math" w:hAnsi="Cambria Math"/>
                </w:rPr>
              </m:ctrlPr>
            </m:sSubPr>
            <m:e>
              <m:r>
                <m:rPr>
                  <m:nor/>
                </m:rPr>
                <m:t>NestStatus</m:t>
              </m:r>
            </m:e>
            <m:sub>
              <m:r>
                <w:rPr>
                  <w:rFonts w:ascii="Cambria Math" w:hAnsi="Cambria Math"/>
                </w:rPr>
                <m:t>n,d-1</m:t>
              </m:r>
            </m:sub>
          </m:sSub>
          <m:r>
            <w:rPr>
              <w:rFonts w:ascii="Cambria Math" w:hAnsi="Cambria Math"/>
            </w:rPr>
            <m:t>)</m:t>
          </m:r>
        </m:oMath>
      </m:oMathPara>
    </w:p>
    <w:p w14:paraId="375B1D96" w14:textId="77777777" w:rsidR="002E5437" w:rsidRDefault="00D06E78">
      <w:pPr>
        <w:pStyle w:val="FirstParagraph"/>
      </w:pPr>
      <w:r>
        <w:t xml:space="preserve">where </w:t>
      </w:r>
      <m:oMath>
        <m:sSub>
          <m:sSubPr>
            <m:ctrlPr>
              <w:rPr>
                <w:rFonts w:ascii="Cambria Math" w:hAnsi="Cambria Math"/>
              </w:rPr>
            </m:ctrlPr>
          </m:sSubPr>
          <m:e>
            <m:r>
              <m:rPr>
                <m:nor/>
              </m:rPr>
              <m:t>NestStatus</m:t>
            </m:r>
          </m:e>
          <m:sub>
            <m:r>
              <w:rPr>
                <w:rFonts w:ascii="Cambria Math" w:hAnsi="Cambria Math"/>
              </w:rPr>
              <m:t>n,d</m:t>
            </m:r>
          </m:sub>
        </m:sSub>
      </m:oMath>
      <w:r>
        <w:t xml:space="preserve"> is the status of nest </w:t>
      </w:r>
      <m:oMath>
        <m:r>
          <w:rPr>
            <w:rFonts w:ascii="Cambria Math" w:hAnsi="Cambria Math"/>
          </w:rPr>
          <m:t>n</m:t>
        </m:r>
      </m:oMath>
      <w:r>
        <w:t xml:space="preserve"> at survey occasion </w:t>
      </w:r>
      <m:oMath>
        <m:r>
          <w:rPr>
            <w:rFonts w:ascii="Cambria Math" w:hAnsi="Cambria Math"/>
          </w:rPr>
          <m:t>d</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n</m:t>
            </m:r>
          </m:sub>
        </m:sSub>
      </m:oMath>
      <w:r>
        <w:t xml:space="preserve"> is the nest surivial probability, and </w:t>
      </w:r>
      <m:oMath>
        <m:sSub>
          <m:sSubPr>
            <m:ctrlPr>
              <w:rPr>
                <w:rFonts w:ascii="Cambria Math" w:hAnsi="Cambria Math"/>
              </w:rPr>
            </m:ctrlPr>
          </m:sSubPr>
          <m:e>
            <m:r>
              <m:rPr>
                <m:nor/>
              </m:rPr>
              <m:t>NestStatus</m:t>
            </m:r>
          </m:e>
          <m:sub>
            <m:r>
              <w:rPr>
                <w:rFonts w:ascii="Cambria Math" w:hAnsi="Cambria Math"/>
              </w:rPr>
              <m:t>n,d-1</m:t>
            </m:r>
          </m:sub>
        </m:sSub>
      </m:oMath>
      <w:r>
        <w:t xml:space="preserve"> is the state of nest </w:t>
      </w:r>
      <m:oMath>
        <m:r>
          <w:rPr>
            <w:rFonts w:ascii="Cambria Math" w:hAnsi="Cambria Math"/>
          </w:rPr>
          <m:t>n</m:t>
        </m:r>
      </m:oMath>
      <w:r>
        <w:t xml:space="preserve"> at the previous survey occasion </w:t>
      </w:r>
      <m:oMath>
        <m:r>
          <w:rPr>
            <w:rFonts w:ascii="Cambria Math" w:hAnsi="Cambria Math"/>
          </w:rPr>
          <m:t>d-1</m:t>
        </m:r>
      </m:oMath>
      <w:r>
        <w:t>.</w:t>
      </w:r>
    </w:p>
    <w:p w14:paraId="3D8ACDAC" w14:textId="0509B699" w:rsidR="002E5437" w:rsidRDefault="00D06E78">
      <w:pPr>
        <w:pStyle w:val="BodyText"/>
      </w:pPr>
      <w:r>
        <w:t xml:space="preserve">The likelihood of the nest success productivity model is </w:t>
      </w:r>
      <m:oMath>
        <m:sSub>
          <m:sSubPr>
            <m:ctrlPr>
              <w:rPr>
                <w:rFonts w:ascii="Cambria Math" w:hAnsi="Cambria Math"/>
              </w:rPr>
            </m:ctrlPr>
          </m:sSubPr>
          <m:e>
            <m:r>
              <w:rPr>
                <w:rFonts w:ascii="Cambria Math" w:hAnsi="Cambria Math"/>
              </w:rPr>
              <m:t>L</m:t>
            </m:r>
          </m:e>
          <m:sub>
            <m:r>
              <w:rPr>
                <w:rFonts w:ascii="Cambria Math" w:hAnsi="Cambria Math"/>
              </w:rPr>
              <m:t>Productivity</m:t>
            </m:r>
          </m:sub>
        </m:sSub>
        <m:r>
          <w:rPr>
            <w:rFonts w:ascii="Cambria Math" w:hAnsi="Cambria Math"/>
          </w:rPr>
          <m:t>(</m:t>
        </m:r>
        <m:r>
          <m:rPr>
            <m:nor/>
          </m:rPr>
          <m:t>NestStatus</m:t>
        </m:r>
        <m:r>
          <w:rPr>
            <w:rFonts w:ascii="Cambria Math" w:hAnsi="Cambria Math"/>
          </w:rPr>
          <m:t>,</m:t>
        </m:r>
        <m:r>
          <m:rPr>
            <m:nor/>
          </m:rPr>
          <m:t>Fledged</m:t>
        </m:r>
        <m:r>
          <m:rPr>
            <m:nor/>
          </m:rPr>
          <w:rPr>
            <w:rFonts w:ascii="Cambria Math"/>
          </w:rPr>
          <m:t xml:space="preserve"> </m:t>
        </m:r>
        <m:r>
          <w:rPr>
            <w:rFonts w:ascii="Cambria Math" w:hAnsi="Cambria Math"/>
          </w:rPr>
          <m:t>|</m:t>
        </m:r>
        <m:sSub>
          <m:sSubPr>
            <m:ctrlPr>
              <w:rPr>
                <w:rFonts w:ascii="Cambria Math" w:hAnsi="Cambria Math"/>
              </w:rPr>
            </m:ctrlPr>
          </m:sSubPr>
          <m:e>
            <m:r>
              <w:rPr>
                <w:rFonts w:ascii="Cambria Math" w:hAnsi="Cambria Math"/>
              </w:rPr>
              <m:t xml:space="preserve"> ϕ</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λ</m:t>
            </m:r>
          </m:e>
          <m:sub>
            <m:r>
              <m:rPr>
                <m:nor/>
              </m:rPr>
              <m:t>fledglings</m:t>
            </m:r>
          </m:sub>
        </m:sSub>
        <m:r>
          <w:rPr>
            <w:rFonts w:ascii="Cambria Math" w:hAnsi="Cambria Math"/>
          </w:rPr>
          <m:t>)</m:t>
        </m:r>
      </m:oMath>
      <w:r w:rsidR="008B387C">
        <w:t>.</w:t>
      </w:r>
    </w:p>
    <w:p w14:paraId="11011295" w14:textId="148133EC" w:rsidR="002E5437" w:rsidRDefault="00D06E78">
      <w:pPr>
        <w:pStyle w:val="BodyText"/>
      </w:pPr>
      <w:r>
        <w:rPr>
          <w:i/>
        </w:rPr>
        <w:t>Mark-resight model</w:t>
      </w:r>
      <w:r>
        <w:br/>
        <w:t xml:space="preserve">In this simulation study, juveniles and adults are marked just prior to the end of the breeding season with a unique combination of colored leg bands such that they can be </w:t>
      </w:r>
      <w:r>
        <w:lastRenderedPageBreak/>
        <w:t xml:space="preserve">individually identified over the course of their lives. Marked individuals are resighted during marking efforts </w:t>
      </w:r>
      <w:r w:rsidR="00AA150E">
        <w:t>and opportunistically throughout the breeding season</w:t>
      </w:r>
      <w:r>
        <w:t>. To estimate stage-specific survival based on the individual encounter histories, we use a Cormack-Jolly-Seber (</w:t>
      </w:r>
      <w:proofErr w:type="spellStart"/>
      <w:r w:rsidR="008D5E39" w:rsidRPr="008D5E39">
        <w:t>Lebreton</w:t>
      </w:r>
      <w:proofErr w:type="spellEnd"/>
      <w:r w:rsidR="008D5E39" w:rsidRPr="008D5E39">
        <w:t xml:space="preserve"> et al. 1992</w:t>
      </w:r>
      <w:r>
        <w:t xml:space="preserve">) model where we assume that marks are not lost or misread and that each marked individual has independent and identical survival and detection probabilities across occasions. The ecological state process </w:t>
      </w:r>
      <w:r>
        <w:rPr>
          <w:i/>
        </w:rPr>
        <w:t>z</w:t>
      </w:r>
      <w:r>
        <w:t xml:space="preserve"> describes the probability that individual </w:t>
      </w:r>
      <w:proofErr w:type="spellStart"/>
      <w:r>
        <w:rPr>
          <w:i/>
        </w:rPr>
        <w:t>i</w:t>
      </w:r>
      <w:proofErr w:type="spellEnd"/>
      <w:r>
        <w:t xml:space="preserve"> at time </w:t>
      </w:r>
      <w:r>
        <w:rPr>
          <w:i/>
        </w:rPr>
        <w:t>t</w:t>
      </w:r>
      <w:r>
        <w:t xml:space="preserve"> is alive or dead, namely:</w:t>
      </w:r>
    </w:p>
    <w:p w14:paraId="7132A276" w14:textId="77777777" w:rsidR="002E5437" w:rsidRDefault="006F6366">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i,t-1</m:t>
              </m:r>
            </m:sub>
          </m:sSub>
          <m:r>
            <w:rPr>
              <w:rFonts w:ascii="Cambria Math" w:hAnsi="Cambria Math"/>
            </w:rPr>
            <m:t>∼</m:t>
          </m:r>
          <m:r>
            <m:rPr>
              <m:nor/>
            </m:rPr>
            <m:t>Bernoulli</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ad</m:t>
              </m:r>
            </m:sub>
          </m:sSub>
          <m:r>
            <w:rPr>
              <w:rFonts w:ascii="Cambria Math" w:hAnsi="Cambria Math"/>
            </w:rPr>
            <m:t>)</m:t>
          </m:r>
        </m:oMath>
      </m:oMathPara>
    </w:p>
    <w:p w14:paraId="3E8F7BE2" w14:textId="77777777" w:rsidR="002E5437" w:rsidRDefault="00D06E78">
      <w:pPr>
        <w:pStyle w:val="FirstParagraph"/>
      </w:pPr>
      <w:r>
        <w:t xml:space="preserve">where the state at time </w:t>
      </w:r>
      <w:r>
        <w:rPr>
          <w:i/>
        </w:rPr>
        <w:t>t</w:t>
      </w:r>
      <w:r>
        <w:t xml:space="preserve"> is modeled with a Bernoulli distribution based on the state at the previous occasion and adult survival probability </w:t>
      </w:r>
      <m:oMath>
        <m:sSub>
          <m:sSubPr>
            <m:ctrlPr>
              <w:rPr>
                <w:rFonts w:ascii="Cambria Math" w:hAnsi="Cambria Math"/>
              </w:rPr>
            </m:ctrlPr>
          </m:sSubPr>
          <m:e>
            <m:r>
              <w:rPr>
                <w:rFonts w:ascii="Cambria Math" w:hAnsi="Cambria Math"/>
              </w:rPr>
              <m:t>ϕ</m:t>
            </m:r>
          </m:e>
          <m:sub>
            <m:r>
              <w:rPr>
                <w:rFonts w:ascii="Cambria Math" w:hAnsi="Cambria Math"/>
              </w:rPr>
              <m:t>ad</m:t>
            </m:r>
          </m:sub>
        </m:sSub>
      </m:oMath>
      <w:r>
        <w:t>. Similarly, the observation process model</w:t>
      </w:r>
    </w:p>
    <w:p w14:paraId="2190600D" w14:textId="77777777" w:rsidR="002E5437" w:rsidRDefault="00D06E78">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i,t</m:t>
              </m:r>
            </m:sub>
          </m:sSub>
          <m:r>
            <w:rPr>
              <w:rFonts w:ascii="Cambria Math" w:hAnsi="Cambria Math"/>
            </w:rPr>
            <m:t>∼</m:t>
          </m:r>
          <m:r>
            <m:rPr>
              <m:nor/>
            </m:rPr>
            <m:t>Bernoulli</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m:t>
          </m:r>
        </m:oMath>
      </m:oMathPara>
    </w:p>
    <w:p w14:paraId="3AC1891F" w14:textId="6FF205DD" w:rsidR="002E5437" w:rsidRDefault="00D06E78">
      <w:pPr>
        <w:pStyle w:val="FirstParagraph"/>
      </w:pPr>
      <w:r>
        <w:t>describes capture history observations</w:t>
      </w:r>
      <w:r w:rsidR="00EC46E8">
        <w:t>,</w:t>
      </w:r>
      <w:r>
        <w:t xml:space="preserve"> </w:t>
      </w:r>
      <w:r>
        <w:rPr>
          <w:i/>
        </w:rPr>
        <w:t>CH</w:t>
      </w:r>
      <w:r w:rsidR="00EC46E8">
        <w:rPr>
          <w:i/>
        </w:rPr>
        <w:t>,</w:t>
      </w:r>
      <w:r>
        <w:t xml:space="preserve"> using a Bernou</w:t>
      </w:r>
      <w:r w:rsidR="00AA150E">
        <w:t>l</w:t>
      </w:r>
      <w:r>
        <w:t xml:space="preserve">li distribution based on the state of the individual in the current occasion and detection probability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xml:space="preserve">. Mean survival and detection probabilities are modeled on the probability scale using uniform priors, </w:t>
      </w:r>
      <m:oMath>
        <m:sSub>
          <m:sSubPr>
            <m:ctrlPr>
              <w:rPr>
                <w:rFonts w:ascii="Cambria Math" w:hAnsi="Cambria Math"/>
              </w:rPr>
            </m:ctrlPr>
          </m:sSubPr>
          <m:e>
            <m:r>
              <w:rPr>
                <w:rFonts w:ascii="Cambria Math" w:hAnsi="Cambria Math"/>
              </w:rPr>
              <m:t>ϕ</m:t>
            </m:r>
          </m:e>
          <m:sub>
            <m:r>
              <w:rPr>
                <w:rFonts w:ascii="Cambria Math" w:hAnsi="Cambria Math"/>
              </w:rPr>
              <m:t>ad</m:t>
            </m:r>
          </m:sub>
        </m:sSub>
        <m:r>
          <w:rPr>
            <w:rFonts w:ascii="Cambria Math" w:hAnsi="Cambria Math"/>
          </w:rPr>
          <m:t>∼</m:t>
        </m:r>
        <m:r>
          <m:rPr>
            <m:nor/>
          </m:rPr>
          <m:t>Uniform</m:t>
        </m:r>
        <m:r>
          <w:rPr>
            <w:rFonts w:ascii="Cambria Math" w:hAnsi="Cambria Math"/>
          </w:rPr>
          <m:t>(0,1)</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m:t>
        </m:r>
        <m:r>
          <m:rPr>
            <m:nor/>
          </m:rPr>
          <m:t>Uniform</m:t>
        </m:r>
        <m:r>
          <w:rPr>
            <w:rFonts w:ascii="Cambria Math" w:hAnsi="Cambria Math"/>
          </w:rPr>
          <m:t>(0,1)</m:t>
        </m:r>
      </m:oMath>
      <w:r>
        <w:t xml:space="preserve">, respectively. The likelihood of the mark-resight model estimating the adult survival probability: </w:t>
      </w:r>
      <m:oMath>
        <m:sSub>
          <m:sSubPr>
            <m:ctrlPr>
              <w:rPr>
                <w:rFonts w:ascii="Cambria Math" w:hAnsi="Cambria Math"/>
              </w:rPr>
            </m:ctrlPr>
          </m:sSubPr>
          <m:e>
            <m:r>
              <w:rPr>
                <w:rFonts w:ascii="Cambria Math" w:hAnsi="Cambria Math"/>
              </w:rPr>
              <m:t>L</m:t>
            </m:r>
          </m:e>
          <m:sub>
            <m:r>
              <w:rPr>
                <w:rFonts w:ascii="Cambria Math" w:hAnsi="Cambria Math"/>
              </w:rPr>
              <m:t>Survival</m:t>
            </m:r>
          </m:sub>
        </m:sSub>
        <m:r>
          <w:rPr>
            <w:rFonts w:ascii="Cambria Math" w:hAnsi="Cambria Math"/>
          </w:rPr>
          <m:t>(</m:t>
        </m:r>
        <m:r>
          <m:rPr>
            <m:nor/>
          </m:rPr>
          <m:t>y</m:t>
        </m:r>
        <m:r>
          <w:rPr>
            <w:rFonts w:ascii="Cambria Math" w:hAnsi="Cambria Math"/>
          </w:rPr>
          <m:t>|</m:t>
        </m:r>
        <m:r>
          <m:rPr>
            <m:nor/>
          </m:rPr>
          <m:t>z</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m:t>
        </m:r>
      </m:oMath>
    </w:p>
    <w:p w14:paraId="2DB63F28" w14:textId="77777777" w:rsidR="00201B0D" w:rsidRDefault="00053F0E" w:rsidP="00201B0D">
      <w:pPr>
        <w:keepNext/>
        <w:jc w:val="both"/>
      </w:pPr>
      <w:r>
        <w:fldChar w:fldCharType="begin"/>
      </w:r>
      <w:r>
        <w:instrText xml:space="preserve"> INCLUDEPICTURE "https://lh5.googleusercontent.com/OD8WtcTzCyxF6BHgyzzurf-81wNPwFUgT17B4s9VNAIBEJTXjovVFMcXv4aLZyC8K35MjSi9ZW_3Svr87qpoW4bQ9CLLMhBaY90xLi6jDq-E02Qo5aaCImY_CuOq9kY2TH8I-fbzLp4" \* MERGEFORMATINET </w:instrText>
      </w:r>
      <w:r>
        <w:fldChar w:fldCharType="separate"/>
      </w:r>
      <w:r w:rsidR="00D06E78">
        <w:rPr>
          <w:noProof/>
        </w:rPr>
        <w:drawing>
          <wp:inline distT="0" distB="0" distL="0" distR="0" wp14:anchorId="58426956" wp14:editId="06CFEE99">
            <wp:extent cx="5486400" cy="3380105"/>
            <wp:effectExtent l="0" t="0" r="0" b="0"/>
            <wp:docPr id="19" name="Picture 1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iagram&#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380105"/>
                    </a:xfrm>
                    <a:prstGeom prst="rect">
                      <a:avLst/>
                    </a:prstGeom>
                    <a:noFill/>
                    <a:ln>
                      <a:noFill/>
                    </a:ln>
                  </pic:spPr>
                </pic:pic>
              </a:graphicData>
            </a:graphic>
          </wp:inline>
        </w:drawing>
      </w:r>
      <w:r>
        <w:fldChar w:fldCharType="end"/>
      </w:r>
    </w:p>
    <w:p w14:paraId="43A1B3A7" w14:textId="1186795C" w:rsidR="00053F0E" w:rsidRDefault="00201B0D" w:rsidP="00201B0D">
      <w:pPr>
        <w:pStyle w:val="Caption"/>
        <w:jc w:val="center"/>
      </w:pPr>
      <w:r>
        <w:t xml:space="preserve">Figure </w:t>
      </w:r>
      <w:r w:rsidR="006F6366">
        <w:fldChar w:fldCharType="begin"/>
      </w:r>
      <w:r w:rsidR="006F6366">
        <w:instrText xml:space="preserve"> SEQ Figure \* ARABIC </w:instrText>
      </w:r>
      <w:r w:rsidR="006F6366">
        <w:fldChar w:fldCharType="separate"/>
      </w:r>
      <w:r w:rsidR="00D06E78">
        <w:rPr>
          <w:noProof/>
        </w:rPr>
        <w:t>2</w:t>
      </w:r>
      <w:r w:rsidR="006F6366">
        <w:rPr>
          <w:noProof/>
        </w:rPr>
        <w:fldChar w:fldCharType="end"/>
      </w:r>
      <w:r>
        <w:t>: Overview of survey design with respect to breeding phenology</w:t>
      </w:r>
      <w:r w:rsidR="00173CF4">
        <w:t>.</w:t>
      </w:r>
    </w:p>
    <w:p w14:paraId="27F955E1" w14:textId="77777777" w:rsidR="00AA150E" w:rsidRDefault="00AA150E">
      <w:pPr>
        <w:pStyle w:val="BodyText"/>
        <w:rPr>
          <w:i/>
        </w:rPr>
      </w:pPr>
    </w:p>
    <w:p w14:paraId="2D75EA81" w14:textId="7F6D87A2" w:rsidR="002E5437" w:rsidRDefault="00D06E78">
      <w:pPr>
        <w:pStyle w:val="BodyText"/>
      </w:pPr>
      <w:r>
        <w:rPr>
          <w:i/>
        </w:rPr>
        <w:t>Integrated population model</w:t>
      </w:r>
      <w:r>
        <w:br/>
        <w:t xml:space="preserve">To estimate abundance of the overall population </w:t>
      </w:r>
      <m:oMath>
        <m:sSub>
          <m:sSubPr>
            <m:ctrlPr>
              <w:rPr>
                <w:rFonts w:ascii="Cambria Math" w:hAnsi="Cambria Math"/>
              </w:rPr>
            </m:ctrlPr>
          </m:sSubPr>
          <m:e>
            <m:r>
              <w:rPr>
                <w:rFonts w:ascii="Cambria Math" w:hAnsi="Cambria Math"/>
              </w:rPr>
              <m:t>N</m:t>
            </m:r>
          </m:e>
          <m:sub>
            <m:r>
              <w:rPr>
                <w:rFonts w:ascii="Cambria Math" w:hAnsi="Cambria Math"/>
              </w:rPr>
              <m:t>tot</m:t>
            </m:r>
          </m:sub>
        </m:sSub>
      </m:oMath>
      <w:r>
        <w:t xml:space="preserve"> at each time </w:t>
      </w:r>
      <w:r>
        <w:rPr>
          <w:i/>
        </w:rPr>
        <w:t>t</w:t>
      </w:r>
      <w:r>
        <w:t xml:space="preserve">, </w:t>
      </w:r>
      <w:r w:rsidR="005C5858">
        <w:t xml:space="preserve">we combined </w:t>
      </w:r>
      <w:r>
        <w:t>the parameter estimates from the productivity and mark-resight models with the stage-</w:t>
      </w:r>
      <w:r>
        <w:lastRenderedPageBreak/>
        <w:t xml:space="preserve">specific abundance estimated using the N-mixture model in a stochastic </w:t>
      </w:r>
      <w:r w:rsidR="005C5858">
        <w:t>Leslie</w:t>
      </w:r>
      <w:r>
        <w:t xml:space="preserve"> population matrix model.</w:t>
      </w:r>
    </w:p>
    <w:p w14:paraId="1250D793" w14:textId="62CB5085" w:rsidR="002E5437" w:rsidRPr="00514DB4" w:rsidRDefault="00D06E78" w:rsidP="00514DB4">
      <w:pPr>
        <w:pStyle w:val="BodyText"/>
      </w:pPr>
      <w:r>
        <w:t>The joint likelihood for the integrated population model is the product of the likelihoods for the three subcomponent models:</w:t>
      </w:r>
    </w:p>
    <w:p w14:paraId="426AD940" w14:textId="77777777" w:rsidR="002E5437" w:rsidRDefault="006F6366">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IPM</m:t>
              </m:r>
            </m:sub>
          </m:sSub>
          <m:r>
            <w:rPr>
              <w:rFonts w:ascii="Cambria Math" w:hAnsi="Cambria Math"/>
            </w:rPr>
            <m:t>(</m:t>
          </m:r>
          <m:r>
            <m:rPr>
              <m:nor/>
            </m:rPr>
            <m:t>y</m:t>
          </m:r>
          <m:r>
            <w:rPr>
              <w:rFonts w:ascii="Cambria Math" w:hAnsi="Cambria Math"/>
            </w:rPr>
            <m:t>,CH,</m:t>
          </m:r>
          <m:r>
            <m:rPr>
              <m:nor/>
            </m:rPr>
            <m:t>NestStatus</m:t>
          </m:r>
          <m:r>
            <w:rPr>
              <w:rFonts w:ascii="Cambria Math" w:hAnsi="Cambria Math"/>
            </w:rPr>
            <m:t>,</m:t>
          </m:r>
          <m:r>
            <m:rPr>
              <m:nor/>
            </m:rPr>
            <m:t>Fledged</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ad</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ad</m:t>
              </m:r>
            </m:sub>
          </m:sSub>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λ</m:t>
              </m:r>
            </m:e>
            <m:sub>
              <m:r>
                <m:rPr>
                  <m:nor/>
                </m:rPr>
                <m:t>fledglings</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sub>
          </m:sSub>
          <m:r>
            <w:rPr>
              <w:rFonts w:ascii="Cambria Math" w:hAnsi="Cambria Math"/>
            </w:rPr>
            <m:t>)=</m:t>
          </m:r>
        </m:oMath>
      </m:oMathPara>
    </w:p>
    <w:p w14:paraId="181D4498" w14:textId="77777777" w:rsidR="002E5437" w:rsidRDefault="006F6366">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Abundance</m:t>
              </m:r>
            </m:sub>
          </m:sSub>
          <m:r>
            <w:rPr>
              <w:rFonts w:ascii="Cambria Math" w:hAnsi="Cambria Math"/>
            </w:rPr>
            <m:t>(</m:t>
          </m:r>
          <m:r>
            <m:rPr>
              <m:nor/>
            </m:rPr>
            <m:t>y</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ad</m:t>
              </m:r>
            </m:sub>
          </m:sSub>
          <m:r>
            <w:rPr>
              <w:rFonts w:ascii="Cambria Math" w:hAnsi="Cambria Math"/>
            </w:rPr>
            <m:t>,f)×</m:t>
          </m:r>
        </m:oMath>
      </m:oMathPara>
    </w:p>
    <w:p w14:paraId="35DD349D" w14:textId="77777777" w:rsidR="002E5437" w:rsidRDefault="006F6366">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Productivity</m:t>
              </m:r>
            </m:sub>
          </m:sSub>
          <m:r>
            <w:rPr>
              <w:rFonts w:ascii="Cambria Math" w:hAnsi="Cambria Math"/>
            </w:rPr>
            <m:t>(</m:t>
          </m:r>
          <m:r>
            <m:rPr>
              <m:nor/>
            </m:rPr>
            <m:t>NestStatus</m:t>
          </m:r>
          <m:r>
            <w:rPr>
              <w:rFonts w:ascii="Cambria Math" w:hAnsi="Cambria Math"/>
            </w:rPr>
            <m:t>,</m:t>
          </m:r>
          <m:r>
            <m:rPr>
              <m:nor/>
            </m:rPr>
            <m:t>Fledged</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λ</m:t>
              </m:r>
            </m:e>
            <m:sub>
              <m:r>
                <m:rPr>
                  <m:nor/>
                </m:rPr>
                <m:t>fledglings</m:t>
              </m:r>
            </m:sub>
          </m:sSub>
          <m:r>
            <w:rPr>
              <w:rFonts w:ascii="Cambria Math" w:hAnsi="Cambria Math"/>
            </w:rPr>
            <m:t>)×</m:t>
          </m:r>
        </m:oMath>
      </m:oMathPara>
    </w:p>
    <w:p w14:paraId="02384A20" w14:textId="32A08A66" w:rsidR="002E5437" w:rsidRPr="00514DB4" w:rsidRDefault="006F6366">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Survival</m:t>
              </m:r>
            </m:sub>
          </m:sSub>
          <m:r>
            <w:rPr>
              <w:rFonts w:ascii="Cambria Math" w:hAnsi="Cambria Math"/>
            </w:rPr>
            <m:t>(</m:t>
          </m:r>
          <m:r>
            <m:rPr>
              <m:nor/>
            </m:rPr>
            <m:t>y</m:t>
          </m:r>
          <m:r>
            <w:rPr>
              <w:rFonts w:ascii="Cambria Math" w:hAnsi="Cambria Math"/>
            </w:rPr>
            <m:t>|</m:t>
          </m:r>
          <m:r>
            <m:rPr>
              <m:nor/>
            </m:rPr>
            <m:t>z</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m:t>
          </m:r>
        </m:oMath>
      </m:oMathPara>
    </w:p>
    <w:p w14:paraId="53EA2BA4" w14:textId="59992272" w:rsidR="00514DB4" w:rsidRPr="00514DB4" w:rsidRDefault="00514DB4" w:rsidP="00514DB4">
      <w:pPr>
        <w:pStyle w:val="BodyText"/>
      </w:pPr>
      <w:r>
        <w:t>In instances when one dataset is removed, we used uninformative priors in place of the data to estimate each of the relevant parameters.</w:t>
      </w:r>
      <w:r>
        <w:br/>
      </w:r>
    </w:p>
    <w:p w14:paraId="44804DFE" w14:textId="41DDD58A" w:rsidR="00D73E5A" w:rsidRPr="008226AB" w:rsidRDefault="00D06E78" w:rsidP="008226AB">
      <w:pPr>
        <w:pStyle w:val="FirstParagraph"/>
      </w:pPr>
      <w:r>
        <w:rPr>
          <w:i/>
        </w:rPr>
        <w:t>Simulation scenarios</w:t>
      </w:r>
      <w:r>
        <w:br/>
        <w:t xml:space="preserve">We developed three versions of an IPM: 1) a </w:t>
      </w:r>
      <w:r w:rsidR="00514DB4">
        <w:t>‘</w:t>
      </w:r>
      <w:r>
        <w:t>full</w:t>
      </w:r>
      <w:r w:rsidR="00514DB4">
        <w:t>’</w:t>
      </w:r>
      <w:r>
        <w:t xml:space="preserve"> IPM that incorporates all three datasets (counts, productivity, mark-resight); 2) an IPM with the counts and productivity datasets only (excludes mark-resight data); and, 3) an IPM with the counts and mark-resight datasets only (excludes productivity data) (Figure 3). There are numerous scenarios we could run to vary detection and survival probabilities for each IPM version and test our objectives. We opted to run a select number of scenarios to provide preliminary findings to inform future work. For each version of the IPM, we ran 5 scenarios</w:t>
      </w:r>
      <w:r w:rsidR="00514DB4">
        <w:t xml:space="preserve"> </w:t>
      </w:r>
      <w:r>
        <w:t>for a total of 15 scenarios (</w:t>
      </w:r>
      <w:r w:rsidR="008226AB">
        <w:t>Table 1</w:t>
      </w:r>
      <w:r>
        <w:t>). Within each scenario, we varied the following parameters: mark-resight probability (0.3, 0.5, 0.8), count detection probability (0.3, 0.5, 0.85), and juvenile survival (0.3, 0.4, 0.5). The remaining parameters were kept constant for all scenarios: daily nest survival (0.975), mean clutch size (2.5), max nest age (30), initial age distribution (1000 juveniles, 1000 adults), and adult survival (0.77). For demographic parameters, we chose to vary juvenile survival because it is a hidden parameter, and these various values result in 5% annual decline, a stable population size, and 5% annual growth, respectively.</w:t>
      </w:r>
    </w:p>
    <w:p w14:paraId="4D5D7B29" w14:textId="77777777" w:rsidR="00EC46E8" w:rsidRDefault="00EC46E8" w:rsidP="00D73E5A">
      <w:pPr>
        <w:pStyle w:val="Caption"/>
        <w:jc w:val="center"/>
        <w:rPr>
          <w:i w:val="0"/>
        </w:rPr>
      </w:pPr>
    </w:p>
    <w:tbl>
      <w:tblPr>
        <w:tblW w:w="10975" w:type="dxa"/>
        <w:tblInd w:w="-954" w:type="dxa"/>
        <w:tblCellMar>
          <w:left w:w="0" w:type="dxa"/>
          <w:right w:w="0" w:type="dxa"/>
        </w:tblCellMar>
        <w:tblLook w:val="04A0" w:firstRow="1" w:lastRow="0" w:firstColumn="1" w:lastColumn="0" w:noHBand="0" w:noVBand="1"/>
      </w:tblPr>
      <w:tblGrid>
        <w:gridCol w:w="1260"/>
        <w:gridCol w:w="1170"/>
        <w:gridCol w:w="1080"/>
        <w:gridCol w:w="1011"/>
        <w:gridCol w:w="1149"/>
        <w:gridCol w:w="1080"/>
        <w:gridCol w:w="990"/>
        <w:gridCol w:w="990"/>
        <w:gridCol w:w="1080"/>
        <w:gridCol w:w="265"/>
        <w:gridCol w:w="900"/>
      </w:tblGrid>
      <w:tr w:rsidR="00EC46E8" w14:paraId="75C73C54" w14:textId="77777777" w:rsidTr="00EC46E8">
        <w:trPr>
          <w:trHeight w:val="243"/>
        </w:trPr>
        <w:tc>
          <w:tcPr>
            <w:tcW w:w="1260" w:type="dxa"/>
            <w:tcBorders>
              <w:top w:val="single" w:sz="4" w:space="0" w:color="auto"/>
              <w:left w:val="single" w:sz="4" w:space="0" w:color="auto"/>
              <w:right w:val="single" w:sz="4" w:space="0" w:color="auto"/>
            </w:tcBorders>
            <w:tcMar>
              <w:top w:w="30" w:type="dxa"/>
              <w:left w:w="45" w:type="dxa"/>
              <w:bottom w:w="30" w:type="dxa"/>
              <w:right w:w="45" w:type="dxa"/>
            </w:tcMar>
          </w:tcPr>
          <w:p w14:paraId="6143FA00" w14:textId="77777777" w:rsidR="00EC46E8" w:rsidRPr="00D73E5A" w:rsidRDefault="00EC46E8" w:rsidP="00F26A5E">
            <w:pPr>
              <w:jc w:val="center"/>
              <w:rPr>
                <w:sz w:val="20"/>
                <w:szCs w:val="20"/>
              </w:rPr>
            </w:pPr>
          </w:p>
        </w:tc>
        <w:tc>
          <w:tcPr>
            <w:tcW w:w="8550" w:type="dxa"/>
            <w:gridSpan w:val="8"/>
            <w:tcBorders>
              <w:top w:val="single" w:sz="4" w:space="0" w:color="auto"/>
              <w:left w:val="single" w:sz="4" w:space="0" w:color="auto"/>
              <w:right w:val="single" w:sz="4" w:space="0" w:color="auto"/>
            </w:tcBorders>
          </w:tcPr>
          <w:p w14:paraId="07DAC877" w14:textId="5E46C66D" w:rsidR="00EC46E8" w:rsidRPr="00D73E5A" w:rsidRDefault="00EC46E8" w:rsidP="00F26A5E">
            <w:pPr>
              <w:jc w:val="center"/>
              <w:rPr>
                <w:sz w:val="20"/>
                <w:szCs w:val="20"/>
              </w:rPr>
            </w:pPr>
            <w:r>
              <w:rPr>
                <w:sz w:val="20"/>
                <w:szCs w:val="20"/>
              </w:rPr>
              <w:t>Model type</w:t>
            </w:r>
          </w:p>
        </w:tc>
        <w:tc>
          <w:tcPr>
            <w:tcW w:w="265" w:type="dxa"/>
            <w:tcBorders>
              <w:left w:val="single" w:sz="4" w:space="0" w:color="auto"/>
            </w:tcBorders>
            <w:tcMar>
              <w:top w:w="30" w:type="dxa"/>
              <w:left w:w="45" w:type="dxa"/>
              <w:bottom w:w="30" w:type="dxa"/>
              <w:right w:w="45" w:type="dxa"/>
            </w:tcMar>
            <w:vAlign w:val="bottom"/>
          </w:tcPr>
          <w:p w14:paraId="6F49375F" w14:textId="77777777" w:rsidR="00EC46E8" w:rsidRPr="00D73E5A" w:rsidRDefault="00EC46E8" w:rsidP="00F26A5E">
            <w:pPr>
              <w:jc w:val="center"/>
              <w:rPr>
                <w:sz w:val="20"/>
                <w:szCs w:val="20"/>
              </w:rPr>
            </w:pPr>
          </w:p>
        </w:tc>
        <w:tc>
          <w:tcPr>
            <w:tcW w:w="900" w:type="dxa"/>
            <w:tcMar>
              <w:top w:w="30" w:type="dxa"/>
              <w:left w:w="45" w:type="dxa"/>
              <w:bottom w:w="30" w:type="dxa"/>
              <w:right w:w="45" w:type="dxa"/>
            </w:tcMar>
            <w:vAlign w:val="bottom"/>
          </w:tcPr>
          <w:p w14:paraId="66DE35EA" w14:textId="77777777" w:rsidR="00EC46E8" w:rsidRPr="00D73E5A" w:rsidRDefault="00EC46E8" w:rsidP="00F26A5E">
            <w:pPr>
              <w:jc w:val="center"/>
              <w:rPr>
                <w:sz w:val="20"/>
                <w:szCs w:val="20"/>
              </w:rPr>
            </w:pPr>
          </w:p>
        </w:tc>
      </w:tr>
      <w:tr w:rsidR="00EC46E8" w14:paraId="4034B579" w14:textId="77777777" w:rsidTr="00EC46E8">
        <w:trPr>
          <w:trHeight w:val="243"/>
        </w:trPr>
        <w:tc>
          <w:tcPr>
            <w:tcW w:w="1260" w:type="dxa"/>
            <w:tcBorders>
              <w:left w:val="single" w:sz="4" w:space="0" w:color="auto"/>
              <w:bottom w:val="single" w:sz="4" w:space="0" w:color="auto"/>
              <w:right w:val="single" w:sz="4" w:space="0" w:color="auto"/>
            </w:tcBorders>
            <w:tcMar>
              <w:top w:w="30" w:type="dxa"/>
              <w:left w:w="45" w:type="dxa"/>
              <w:bottom w:w="30" w:type="dxa"/>
              <w:right w:w="45" w:type="dxa"/>
            </w:tcMar>
            <w:hideMark/>
          </w:tcPr>
          <w:p w14:paraId="7762590D" w14:textId="77777777" w:rsidR="00EC46E8" w:rsidRPr="00D73E5A" w:rsidRDefault="00EC46E8" w:rsidP="00F26A5E">
            <w:pPr>
              <w:jc w:val="center"/>
              <w:rPr>
                <w:sz w:val="20"/>
                <w:szCs w:val="20"/>
              </w:rPr>
            </w:pPr>
          </w:p>
        </w:tc>
        <w:tc>
          <w:tcPr>
            <w:tcW w:w="3261" w:type="dxa"/>
            <w:gridSpan w:val="3"/>
            <w:tcBorders>
              <w:top w:val="single" w:sz="4" w:space="0" w:color="auto"/>
              <w:left w:val="single" w:sz="4" w:space="0" w:color="auto"/>
              <w:bottom w:val="single" w:sz="4" w:space="0" w:color="auto"/>
              <w:right w:val="single" w:sz="4" w:space="0" w:color="auto"/>
            </w:tcBorders>
          </w:tcPr>
          <w:p w14:paraId="12FF2F5A" w14:textId="58DF4E98" w:rsidR="00EC46E8" w:rsidRPr="00D73E5A" w:rsidRDefault="00EC46E8" w:rsidP="00F26A5E">
            <w:pPr>
              <w:jc w:val="center"/>
              <w:rPr>
                <w:sz w:val="20"/>
                <w:szCs w:val="20"/>
              </w:rPr>
            </w:pPr>
            <w:r w:rsidRPr="00D73E5A">
              <w:rPr>
                <w:sz w:val="20"/>
                <w:szCs w:val="20"/>
              </w:rPr>
              <w:t>Full IPM</w:t>
            </w:r>
          </w:p>
        </w:tc>
        <w:tc>
          <w:tcPr>
            <w:tcW w:w="2229" w:type="dxa"/>
            <w:gridSpan w:val="2"/>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2C84B43" w14:textId="77777777" w:rsidR="00EC46E8" w:rsidRPr="00D73E5A" w:rsidRDefault="00EC46E8" w:rsidP="00F26A5E">
            <w:pPr>
              <w:jc w:val="center"/>
              <w:rPr>
                <w:sz w:val="20"/>
                <w:szCs w:val="20"/>
              </w:rPr>
            </w:pPr>
            <w:r w:rsidRPr="00D73E5A">
              <w:rPr>
                <w:sz w:val="20"/>
                <w:szCs w:val="20"/>
              </w:rPr>
              <w:t>Abundance + Productivity</w:t>
            </w:r>
          </w:p>
        </w:tc>
        <w:tc>
          <w:tcPr>
            <w:tcW w:w="3060" w:type="dxa"/>
            <w:gridSpan w:val="3"/>
            <w:tcBorders>
              <w:top w:val="single" w:sz="4" w:space="0" w:color="auto"/>
              <w:left w:val="single" w:sz="4" w:space="0" w:color="auto"/>
              <w:bottom w:val="single" w:sz="4" w:space="0" w:color="auto"/>
              <w:right w:val="single" w:sz="4" w:space="0" w:color="auto"/>
            </w:tcBorders>
          </w:tcPr>
          <w:p w14:paraId="38FC32B1" w14:textId="4BFDA601" w:rsidR="00EC46E8" w:rsidRPr="00D73E5A" w:rsidRDefault="00EC46E8" w:rsidP="00F26A5E">
            <w:pPr>
              <w:jc w:val="center"/>
              <w:rPr>
                <w:sz w:val="20"/>
                <w:szCs w:val="20"/>
              </w:rPr>
            </w:pPr>
            <w:r w:rsidRPr="00D73E5A">
              <w:rPr>
                <w:sz w:val="20"/>
                <w:szCs w:val="20"/>
              </w:rPr>
              <w:t>Abundance + Survival</w:t>
            </w:r>
          </w:p>
        </w:tc>
        <w:tc>
          <w:tcPr>
            <w:tcW w:w="265" w:type="dxa"/>
            <w:tcBorders>
              <w:left w:val="single" w:sz="4" w:space="0" w:color="auto"/>
            </w:tcBorders>
            <w:tcMar>
              <w:top w:w="30" w:type="dxa"/>
              <w:left w:w="45" w:type="dxa"/>
              <w:bottom w:w="30" w:type="dxa"/>
              <w:right w:w="45" w:type="dxa"/>
            </w:tcMar>
            <w:vAlign w:val="bottom"/>
            <w:hideMark/>
          </w:tcPr>
          <w:p w14:paraId="3E31729D" w14:textId="77777777" w:rsidR="00EC46E8" w:rsidRPr="00D73E5A" w:rsidRDefault="00EC46E8" w:rsidP="00F26A5E">
            <w:pPr>
              <w:jc w:val="center"/>
              <w:rPr>
                <w:sz w:val="20"/>
                <w:szCs w:val="20"/>
              </w:rPr>
            </w:pPr>
          </w:p>
        </w:tc>
        <w:tc>
          <w:tcPr>
            <w:tcW w:w="900" w:type="dxa"/>
            <w:tcMar>
              <w:top w:w="30" w:type="dxa"/>
              <w:left w:w="45" w:type="dxa"/>
              <w:bottom w:w="30" w:type="dxa"/>
              <w:right w:w="45" w:type="dxa"/>
            </w:tcMar>
            <w:vAlign w:val="bottom"/>
            <w:hideMark/>
          </w:tcPr>
          <w:p w14:paraId="0A06C15D" w14:textId="77777777" w:rsidR="00EC46E8" w:rsidRPr="00D73E5A" w:rsidRDefault="00EC46E8" w:rsidP="00F26A5E">
            <w:pPr>
              <w:jc w:val="center"/>
              <w:rPr>
                <w:sz w:val="20"/>
                <w:szCs w:val="20"/>
              </w:rPr>
            </w:pPr>
          </w:p>
        </w:tc>
      </w:tr>
      <w:tr w:rsidR="00EC46E8" w14:paraId="0EA33C49" w14:textId="77777777" w:rsidTr="00EC46E8">
        <w:trPr>
          <w:trHeight w:val="243"/>
        </w:trPr>
        <w:tc>
          <w:tcPr>
            <w:tcW w:w="12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122AEA3" w14:textId="77777777" w:rsidR="00EC46E8" w:rsidRDefault="00EC46E8" w:rsidP="00F26A5E">
            <w:pPr>
              <w:jc w:val="center"/>
              <w:rPr>
                <w:color w:val="000000"/>
                <w:sz w:val="20"/>
                <w:szCs w:val="20"/>
              </w:rPr>
            </w:pPr>
            <w:r w:rsidRPr="00D73E5A">
              <w:rPr>
                <w:color w:val="000000"/>
                <w:sz w:val="20"/>
                <w:szCs w:val="20"/>
              </w:rPr>
              <w:t>Scenario</w:t>
            </w:r>
          </w:p>
          <w:p w14:paraId="6A926839" w14:textId="77777777" w:rsidR="00EC46E8" w:rsidRPr="00D73E5A" w:rsidRDefault="00EC46E8" w:rsidP="00F26A5E">
            <w:pPr>
              <w:jc w:val="center"/>
              <w:rPr>
                <w:color w:val="000000"/>
                <w:sz w:val="20"/>
                <w:szCs w:val="20"/>
              </w:rPr>
            </w:pPr>
            <w:r>
              <w:rPr>
                <w:color w:val="000000"/>
                <w:sz w:val="20"/>
                <w:szCs w:val="20"/>
              </w:rPr>
              <w:t>number</w:t>
            </w:r>
          </w:p>
        </w:tc>
        <w:tc>
          <w:tcPr>
            <w:tcW w:w="1170" w:type="dxa"/>
            <w:tcBorders>
              <w:top w:val="single" w:sz="4" w:space="0" w:color="auto"/>
              <w:left w:val="single" w:sz="4" w:space="0" w:color="auto"/>
              <w:bottom w:val="single" w:sz="4" w:space="0" w:color="auto"/>
              <w:right w:val="single" w:sz="4" w:space="0" w:color="auto"/>
            </w:tcBorders>
            <w:vAlign w:val="center"/>
          </w:tcPr>
          <w:p w14:paraId="4818A9B4" w14:textId="4C0547C9" w:rsidR="00EC46E8" w:rsidRDefault="006F6366" w:rsidP="00EC46E8">
            <w:pPr>
              <w:jc w:val="center"/>
              <w:rPr>
                <w:sz w:val="20"/>
                <w:szCs w:val="20"/>
              </w:rPr>
            </w:pPr>
            <m:oMathPara>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s</m:t>
                    </m:r>
                  </m:sub>
                </m:sSub>
              </m:oMath>
            </m:oMathPara>
          </w:p>
          <w:p w14:paraId="4D10AAE1" w14:textId="72EE8C54" w:rsidR="00EC46E8" w:rsidRPr="00EC46E8" w:rsidRDefault="00EC46E8" w:rsidP="00EC46E8">
            <w:pPr>
              <w:jc w:val="center"/>
              <w:rPr>
                <w:sz w:val="16"/>
                <w:szCs w:val="16"/>
              </w:rPr>
            </w:pPr>
            <w:r w:rsidRPr="00EC46E8">
              <w:rPr>
                <w:sz w:val="16"/>
                <w:szCs w:val="16"/>
              </w:rPr>
              <w:t>(0.85, 0.5, 0.3)</w:t>
            </w:r>
          </w:p>
        </w:tc>
        <w:tc>
          <w:tcPr>
            <w:tcW w:w="10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DB537B7" w14:textId="2F1C6897" w:rsidR="00EC46E8" w:rsidRPr="00D73E5A" w:rsidRDefault="006F6366" w:rsidP="00EC46E8">
            <w:pPr>
              <w:jc w:val="center"/>
              <w:rPr>
                <w:sz w:val="20"/>
                <w:szCs w:val="20"/>
              </w:rPr>
            </w:pPr>
            <m:oMathPara>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mr</m:t>
                    </m:r>
                  </m:sub>
                </m:sSub>
                <m:r>
                  <m:rPr>
                    <m:sty m:val="p"/>
                  </m:rPr>
                  <w:rPr>
                    <w:sz w:val="20"/>
                    <w:szCs w:val="20"/>
                  </w:rPr>
                  <w:br/>
                </m:r>
              </m:oMath>
            </m:oMathPara>
            <w:r w:rsidR="00EC46E8" w:rsidRPr="00EC46E8">
              <w:rPr>
                <w:sz w:val="16"/>
                <w:szCs w:val="16"/>
              </w:rPr>
              <w:t>(0.8, 0.5, 0.3)</w:t>
            </w:r>
          </w:p>
        </w:tc>
        <w:tc>
          <w:tcPr>
            <w:tcW w:w="1011"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C271542" w14:textId="77777777" w:rsidR="00EC46E8" w:rsidRPr="00D73E5A" w:rsidRDefault="006F6366" w:rsidP="00EC46E8">
            <w:pPr>
              <w:jc w:val="center"/>
              <w:rPr>
                <w:sz w:val="20"/>
                <w:szCs w:val="20"/>
              </w:rPr>
            </w:pPr>
            <m:oMathPara>
              <m:oMath>
                <m:sSub>
                  <m:sSubPr>
                    <m:ctrlPr>
                      <w:rPr>
                        <w:rFonts w:ascii="Cambria Math" w:hAnsi="Cambria Math" w:cs="Cambria Math"/>
                        <w:i/>
                        <w:sz w:val="20"/>
                        <w:szCs w:val="20"/>
                      </w:rPr>
                    </m:ctrlPr>
                  </m:sSubPr>
                  <m:e>
                    <m:r>
                      <w:rPr>
                        <w:rFonts w:ascii="Cambria Math" w:hAnsi="Cambria Math" w:cs="Cambria Math"/>
                        <w:sz w:val="20"/>
                        <w:szCs w:val="20"/>
                      </w:rPr>
                      <m:t>ϕ</m:t>
                    </m:r>
                  </m:e>
                  <m:sub>
                    <m:r>
                      <w:rPr>
                        <w:rFonts w:ascii="Cambria Math" w:hAnsi="Cambria Math" w:cs="Cambria Math"/>
                        <w:sz w:val="20"/>
                        <w:szCs w:val="20"/>
                      </w:rPr>
                      <m:t>1</m:t>
                    </m:r>
                  </m:sub>
                </m:sSub>
                <m:r>
                  <m:rPr>
                    <m:sty m:val="p"/>
                  </m:rPr>
                  <w:rPr>
                    <w:sz w:val="20"/>
                    <w:szCs w:val="20"/>
                  </w:rPr>
                  <w:br/>
                </m:r>
              </m:oMath>
            </m:oMathPara>
            <w:r w:rsidR="00EC46E8" w:rsidRPr="00EC46E8">
              <w:rPr>
                <w:sz w:val="16"/>
                <w:szCs w:val="16"/>
              </w:rPr>
              <w:t>(0.5, 0.4, 0.3)</w:t>
            </w:r>
          </w:p>
        </w:tc>
        <w:tc>
          <w:tcPr>
            <w:tcW w:w="114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678482" w14:textId="0AB16A58" w:rsidR="00EC46E8" w:rsidRPr="00D73E5A" w:rsidRDefault="006F6366" w:rsidP="00EC46E8">
            <w:pPr>
              <w:jc w:val="center"/>
              <w:rPr>
                <w:sz w:val="20"/>
                <w:szCs w:val="20"/>
              </w:rPr>
            </w:pPr>
            <m:oMathPara>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s</m:t>
                    </m:r>
                  </m:sub>
                </m:sSub>
                <m:r>
                  <m:rPr>
                    <m:sty m:val="p"/>
                  </m:rPr>
                  <w:rPr>
                    <w:sz w:val="20"/>
                    <w:szCs w:val="20"/>
                  </w:rPr>
                  <w:br/>
                </m:r>
              </m:oMath>
            </m:oMathPara>
            <w:r w:rsidR="00EC46E8" w:rsidRPr="00EC46E8">
              <w:rPr>
                <w:sz w:val="16"/>
                <w:szCs w:val="16"/>
              </w:rPr>
              <w:t>(0.85, 0.5, 0.3)</w:t>
            </w:r>
          </w:p>
        </w:tc>
        <w:tc>
          <w:tcPr>
            <w:tcW w:w="10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5328B2" w14:textId="77777777" w:rsidR="00EC46E8" w:rsidRPr="00D73E5A" w:rsidRDefault="006F6366" w:rsidP="00EC46E8">
            <w:pPr>
              <w:jc w:val="center"/>
              <w:rPr>
                <w:sz w:val="20"/>
                <w:szCs w:val="20"/>
              </w:rPr>
            </w:pPr>
            <m:oMathPara>
              <m:oMath>
                <m:sSub>
                  <m:sSubPr>
                    <m:ctrlPr>
                      <w:rPr>
                        <w:rFonts w:ascii="Cambria Math" w:hAnsi="Cambria Math" w:cs="Cambria Math"/>
                        <w:i/>
                        <w:sz w:val="20"/>
                        <w:szCs w:val="20"/>
                      </w:rPr>
                    </m:ctrlPr>
                  </m:sSubPr>
                  <m:e>
                    <m:r>
                      <w:rPr>
                        <w:rFonts w:ascii="Cambria Math" w:hAnsi="Cambria Math" w:cs="Cambria Math"/>
                        <w:sz w:val="20"/>
                        <w:szCs w:val="20"/>
                      </w:rPr>
                      <m:t>ϕ</m:t>
                    </m:r>
                  </m:e>
                  <m:sub>
                    <m:r>
                      <w:rPr>
                        <w:rFonts w:ascii="Cambria Math" w:hAnsi="Cambria Math" w:cs="Cambria Math"/>
                        <w:sz w:val="20"/>
                        <w:szCs w:val="20"/>
                      </w:rPr>
                      <m:t>1</m:t>
                    </m:r>
                  </m:sub>
                </m:sSub>
                <m:r>
                  <m:rPr>
                    <m:sty m:val="p"/>
                  </m:rPr>
                  <w:rPr>
                    <w:sz w:val="20"/>
                    <w:szCs w:val="20"/>
                  </w:rPr>
                  <w:br/>
                </m:r>
              </m:oMath>
            </m:oMathPara>
            <w:r w:rsidR="00EC46E8" w:rsidRPr="00EC46E8">
              <w:rPr>
                <w:sz w:val="16"/>
                <w:szCs w:val="16"/>
              </w:rPr>
              <w:t>(0.5, 0.4, 0.3)</w:t>
            </w:r>
          </w:p>
        </w:tc>
        <w:tc>
          <w:tcPr>
            <w:tcW w:w="990" w:type="dxa"/>
            <w:tcBorders>
              <w:top w:val="single" w:sz="4" w:space="0" w:color="auto"/>
              <w:left w:val="single" w:sz="4" w:space="0" w:color="auto"/>
              <w:bottom w:val="single" w:sz="4" w:space="0" w:color="auto"/>
              <w:right w:val="single" w:sz="4" w:space="0" w:color="auto"/>
            </w:tcBorders>
            <w:vAlign w:val="center"/>
          </w:tcPr>
          <w:p w14:paraId="7B4C81CE" w14:textId="77777777" w:rsidR="00EC46E8" w:rsidRPr="00EC46E8" w:rsidRDefault="006F6366" w:rsidP="00EC46E8">
            <w:pPr>
              <w:jc w:val="center"/>
              <w:rPr>
                <w:sz w:val="20"/>
                <w:szCs w:val="20"/>
              </w:rPr>
            </w:pPr>
            <m:oMathPara>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s</m:t>
                    </m:r>
                  </m:sub>
                </m:sSub>
              </m:oMath>
            </m:oMathPara>
          </w:p>
          <w:p w14:paraId="5CCA5FE5" w14:textId="33931097" w:rsidR="00EC46E8" w:rsidRPr="00EC46E8" w:rsidRDefault="00EC46E8" w:rsidP="00EC46E8">
            <w:pPr>
              <w:jc w:val="center"/>
              <w:rPr>
                <w:sz w:val="16"/>
                <w:szCs w:val="16"/>
              </w:rPr>
            </w:pPr>
            <w:r w:rsidRPr="00EC46E8">
              <w:rPr>
                <w:sz w:val="16"/>
                <w:szCs w:val="16"/>
              </w:rPr>
              <w:t>(0.85, 0.5, 0.3)</w:t>
            </w:r>
          </w:p>
        </w:tc>
        <w:tc>
          <w:tcPr>
            <w:tcW w:w="9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94D1AB9" w14:textId="2A11D1C0" w:rsidR="00EC46E8" w:rsidRPr="00D73E5A" w:rsidRDefault="006F6366" w:rsidP="00EC46E8">
            <w:pPr>
              <w:jc w:val="center"/>
              <w:rPr>
                <w:sz w:val="20"/>
                <w:szCs w:val="20"/>
              </w:rPr>
            </w:pPr>
            <m:oMathPara>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mr</m:t>
                    </m:r>
                  </m:sub>
                </m:sSub>
                <m:r>
                  <m:rPr>
                    <m:sty m:val="p"/>
                  </m:rPr>
                  <w:rPr>
                    <w:sz w:val="20"/>
                    <w:szCs w:val="20"/>
                  </w:rPr>
                  <w:br/>
                </m:r>
              </m:oMath>
            </m:oMathPara>
            <w:r w:rsidR="00EC46E8" w:rsidRPr="00EC46E8">
              <w:rPr>
                <w:sz w:val="16"/>
                <w:szCs w:val="16"/>
              </w:rPr>
              <w:t>(0.8, 0.5, 0.3)</w:t>
            </w:r>
          </w:p>
        </w:tc>
        <w:tc>
          <w:tcPr>
            <w:tcW w:w="10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E06DE75" w14:textId="77777777" w:rsidR="00EC46E8" w:rsidRPr="00D73E5A" w:rsidRDefault="006F6366" w:rsidP="00EC46E8">
            <w:pPr>
              <w:jc w:val="center"/>
              <w:rPr>
                <w:sz w:val="20"/>
                <w:szCs w:val="20"/>
              </w:rPr>
            </w:pPr>
            <m:oMathPara>
              <m:oMath>
                <m:sSub>
                  <m:sSubPr>
                    <m:ctrlPr>
                      <w:rPr>
                        <w:rFonts w:ascii="Cambria Math" w:hAnsi="Cambria Math" w:cs="Cambria Math"/>
                        <w:i/>
                        <w:sz w:val="20"/>
                        <w:szCs w:val="20"/>
                      </w:rPr>
                    </m:ctrlPr>
                  </m:sSubPr>
                  <m:e>
                    <m:r>
                      <w:rPr>
                        <w:rFonts w:ascii="Cambria Math" w:hAnsi="Cambria Math" w:cs="Cambria Math"/>
                        <w:sz w:val="20"/>
                        <w:szCs w:val="20"/>
                      </w:rPr>
                      <m:t>ϕ</m:t>
                    </m:r>
                  </m:e>
                  <m:sub>
                    <m:r>
                      <w:rPr>
                        <w:rFonts w:ascii="Cambria Math" w:hAnsi="Cambria Math" w:cs="Cambria Math"/>
                        <w:sz w:val="20"/>
                        <w:szCs w:val="20"/>
                      </w:rPr>
                      <m:t>1</m:t>
                    </m:r>
                  </m:sub>
                </m:sSub>
                <m:r>
                  <m:rPr>
                    <m:sty m:val="p"/>
                  </m:rPr>
                  <w:rPr>
                    <w:sz w:val="20"/>
                    <w:szCs w:val="20"/>
                  </w:rPr>
                  <w:br/>
                </m:r>
              </m:oMath>
            </m:oMathPara>
            <w:r w:rsidR="00EC46E8" w:rsidRPr="00EC46E8">
              <w:rPr>
                <w:sz w:val="16"/>
                <w:szCs w:val="16"/>
              </w:rPr>
              <w:t>(0.5, 0.4, 0.3)</w:t>
            </w:r>
          </w:p>
        </w:tc>
        <w:tc>
          <w:tcPr>
            <w:tcW w:w="265" w:type="dxa"/>
            <w:tcBorders>
              <w:left w:val="single" w:sz="4" w:space="0" w:color="auto"/>
            </w:tcBorders>
            <w:tcMar>
              <w:top w:w="30" w:type="dxa"/>
              <w:left w:w="45" w:type="dxa"/>
              <w:bottom w:w="30" w:type="dxa"/>
              <w:right w:w="45" w:type="dxa"/>
            </w:tcMar>
            <w:vAlign w:val="bottom"/>
            <w:hideMark/>
          </w:tcPr>
          <w:p w14:paraId="189111A3" w14:textId="77777777" w:rsidR="00EC46E8" w:rsidRPr="00D73E5A" w:rsidRDefault="00EC46E8" w:rsidP="00F26A5E">
            <w:pPr>
              <w:jc w:val="center"/>
              <w:rPr>
                <w:sz w:val="20"/>
                <w:szCs w:val="20"/>
              </w:rPr>
            </w:pPr>
          </w:p>
        </w:tc>
        <w:tc>
          <w:tcPr>
            <w:tcW w:w="900" w:type="dxa"/>
            <w:tcMar>
              <w:top w:w="30" w:type="dxa"/>
              <w:left w:w="45" w:type="dxa"/>
              <w:bottom w:w="30" w:type="dxa"/>
              <w:right w:w="45" w:type="dxa"/>
            </w:tcMar>
            <w:vAlign w:val="bottom"/>
            <w:hideMark/>
          </w:tcPr>
          <w:p w14:paraId="105E59AF" w14:textId="77777777" w:rsidR="00EC46E8" w:rsidRPr="00D73E5A" w:rsidRDefault="00EC46E8" w:rsidP="00F26A5E">
            <w:pPr>
              <w:jc w:val="center"/>
              <w:rPr>
                <w:sz w:val="20"/>
                <w:szCs w:val="20"/>
              </w:rPr>
            </w:pPr>
          </w:p>
        </w:tc>
      </w:tr>
      <w:tr w:rsidR="00EC46E8" w14:paraId="0D97B371" w14:textId="77777777" w:rsidTr="00EC46E8">
        <w:trPr>
          <w:trHeight w:val="243"/>
        </w:trPr>
        <w:tc>
          <w:tcPr>
            <w:tcW w:w="12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74C685B" w14:textId="77777777" w:rsidR="00EC46E8" w:rsidRPr="00D73E5A" w:rsidRDefault="00EC46E8" w:rsidP="00F26A5E">
            <w:pPr>
              <w:jc w:val="center"/>
              <w:rPr>
                <w:sz w:val="20"/>
                <w:szCs w:val="20"/>
              </w:rPr>
            </w:pPr>
            <w:r w:rsidRPr="00D73E5A">
              <w:rPr>
                <w:sz w:val="20"/>
                <w:szCs w:val="20"/>
              </w:rPr>
              <w:t>1 | 6 | 11</w:t>
            </w:r>
          </w:p>
        </w:tc>
        <w:tc>
          <w:tcPr>
            <w:tcW w:w="1170" w:type="dxa"/>
            <w:tcBorders>
              <w:top w:val="single" w:sz="4" w:space="0" w:color="auto"/>
              <w:left w:val="single" w:sz="4" w:space="0" w:color="auto"/>
              <w:bottom w:val="single" w:sz="4" w:space="0" w:color="auto"/>
              <w:right w:val="single" w:sz="4" w:space="0" w:color="auto"/>
            </w:tcBorders>
            <w:shd w:val="clear" w:color="auto" w:fill="4A86E8"/>
          </w:tcPr>
          <w:p w14:paraId="0B30BAAC"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394C2880" w14:textId="13785A66" w:rsidR="00EC46E8" w:rsidRPr="00D73E5A" w:rsidRDefault="00EC46E8" w:rsidP="00F26A5E">
            <w:pPr>
              <w:jc w:val="center"/>
              <w:rPr>
                <w:sz w:val="20"/>
                <w:szCs w:val="20"/>
              </w:rPr>
            </w:pPr>
          </w:p>
        </w:tc>
        <w:tc>
          <w:tcPr>
            <w:tcW w:w="1011"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39BA8E3E" w14:textId="77777777" w:rsidR="00EC46E8" w:rsidRPr="00D73E5A" w:rsidRDefault="00EC46E8" w:rsidP="00F26A5E">
            <w:pPr>
              <w:jc w:val="center"/>
              <w:rPr>
                <w:sz w:val="20"/>
                <w:szCs w:val="20"/>
              </w:rPr>
            </w:pPr>
          </w:p>
        </w:tc>
        <w:tc>
          <w:tcPr>
            <w:tcW w:w="1149"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44EFAEE6"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3A15873F"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4A86E8"/>
          </w:tcPr>
          <w:p w14:paraId="23B64B3F"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66F23F9F" w14:textId="5ACDC974"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767F9864" w14:textId="77777777" w:rsidR="00EC46E8" w:rsidRPr="00D73E5A" w:rsidRDefault="00EC46E8" w:rsidP="00F26A5E">
            <w:pPr>
              <w:jc w:val="center"/>
              <w:rPr>
                <w:sz w:val="20"/>
                <w:szCs w:val="20"/>
              </w:rPr>
            </w:pPr>
          </w:p>
        </w:tc>
        <w:tc>
          <w:tcPr>
            <w:tcW w:w="265" w:type="dxa"/>
            <w:tcBorders>
              <w:left w:val="single" w:sz="4" w:space="0" w:color="auto"/>
            </w:tcBorders>
            <w:tcMar>
              <w:top w:w="30" w:type="dxa"/>
              <w:left w:w="45" w:type="dxa"/>
              <w:bottom w:w="30" w:type="dxa"/>
              <w:right w:w="45" w:type="dxa"/>
            </w:tcMar>
            <w:vAlign w:val="bottom"/>
            <w:hideMark/>
          </w:tcPr>
          <w:p w14:paraId="1806282C" w14:textId="77777777" w:rsidR="00EC46E8" w:rsidRPr="00D73E5A" w:rsidRDefault="00EC46E8" w:rsidP="00F26A5E">
            <w:pPr>
              <w:jc w:val="center"/>
              <w:rPr>
                <w:sz w:val="20"/>
                <w:szCs w:val="20"/>
              </w:rPr>
            </w:pPr>
          </w:p>
        </w:tc>
        <w:tc>
          <w:tcPr>
            <w:tcW w:w="900" w:type="dxa"/>
            <w:shd w:val="clear" w:color="auto" w:fill="FFFFFF"/>
            <w:tcMar>
              <w:top w:w="30" w:type="dxa"/>
              <w:left w:w="45" w:type="dxa"/>
              <w:bottom w:w="30" w:type="dxa"/>
              <w:right w:w="45" w:type="dxa"/>
            </w:tcMar>
            <w:vAlign w:val="bottom"/>
            <w:hideMark/>
          </w:tcPr>
          <w:p w14:paraId="3F3FCC91" w14:textId="77777777" w:rsidR="00EC46E8" w:rsidRPr="00D73E5A" w:rsidRDefault="00EC46E8" w:rsidP="00F26A5E">
            <w:pPr>
              <w:jc w:val="center"/>
              <w:rPr>
                <w:color w:val="000000"/>
                <w:sz w:val="20"/>
                <w:szCs w:val="20"/>
              </w:rPr>
            </w:pPr>
            <w:r w:rsidRPr="00D73E5A">
              <w:rPr>
                <w:color w:val="000000"/>
                <w:sz w:val="20"/>
                <w:szCs w:val="20"/>
              </w:rPr>
              <w:t>Legend</w:t>
            </w:r>
          </w:p>
        </w:tc>
      </w:tr>
      <w:tr w:rsidR="00EC46E8" w14:paraId="163B63BD" w14:textId="77777777" w:rsidTr="00EC46E8">
        <w:trPr>
          <w:trHeight w:val="243"/>
        </w:trPr>
        <w:tc>
          <w:tcPr>
            <w:tcW w:w="12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FCBA496" w14:textId="77777777" w:rsidR="00EC46E8" w:rsidRPr="00D73E5A" w:rsidRDefault="00EC46E8" w:rsidP="00F26A5E">
            <w:pPr>
              <w:jc w:val="center"/>
              <w:rPr>
                <w:sz w:val="20"/>
                <w:szCs w:val="20"/>
              </w:rPr>
            </w:pPr>
            <w:r w:rsidRPr="00D73E5A">
              <w:rPr>
                <w:sz w:val="20"/>
                <w:szCs w:val="20"/>
              </w:rPr>
              <w:t>2 | 7 | 12</w:t>
            </w:r>
          </w:p>
        </w:tc>
        <w:tc>
          <w:tcPr>
            <w:tcW w:w="1170" w:type="dxa"/>
            <w:tcBorders>
              <w:top w:val="single" w:sz="4" w:space="0" w:color="auto"/>
              <w:left w:val="single" w:sz="4" w:space="0" w:color="auto"/>
              <w:bottom w:val="single" w:sz="4" w:space="0" w:color="auto"/>
              <w:right w:val="single" w:sz="4" w:space="0" w:color="auto"/>
            </w:tcBorders>
            <w:shd w:val="clear" w:color="auto" w:fill="4A86E8"/>
          </w:tcPr>
          <w:p w14:paraId="37EEFFF1"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1275BA41" w14:textId="67761420" w:rsidR="00EC46E8" w:rsidRPr="00D73E5A" w:rsidRDefault="00EC46E8" w:rsidP="00F26A5E">
            <w:pPr>
              <w:jc w:val="center"/>
              <w:rPr>
                <w:sz w:val="20"/>
                <w:szCs w:val="20"/>
              </w:rPr>
            </w:pPr>
          </w:p>
        </w:tc>
        <w:tc>
          <w:tcPr>
            <w:tcW w:w="1011"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49770616" w14:textId="77777777" w:rsidR="00EC46E8" w:rsidRPr="00D73E5A" w:rsidRDefault="00EC46E8" w:rsidP="00F26A5E">
            <w:pPr>
              <w:jc w:val="center"/>
              <w:rPr>
                <w:sz w:val="20"/>
                <w:szCs w:val="20"/>
              </w:rPr>
            </w:pPr>
          </w:p>
        </w:tc>
        <w:tc>
          <w:tcPr>
            <w:tcW w:w="1149"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763155DA"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5DB7808F"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4A86E8"/>
          </w:tcPr>
          <w:p w14:paraId="53DA8BF8"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63CBCB3C" w14:textId="23717D24"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1C409C1C" w14:textId="77777777" w:rsidR="00EC46E8" w:rsidRPr="00D73E5A" w:rsidRDefault="00EC46E8" w:rsidP="00F26A5E">
            <w:pPr>
              <w:jc w:val="center"/>
              <w:rPr>
                <w:sz w:val="20"/>
                <w:szCs w:val="20"/>
              </w:rPr>
            </w:pPr>
          </w:p>
        </w:tc>
        <w:tc>
          <w:tcPr>
            <w:tcW w:w="265" w:type="dxa"/>
            <w:tcBorders>
              <w:left w:val="single" w:sz="4" w:space="0" w:color="auto"/>
            </w:tcBorders>
            <w:tcMar>
              <w:top w:w="30" w:type="dxa"/>
              <w:left w:w="45" w:type="dxa"/>
              <w:bottom w:w="30" w:type="dxa"/>
              <w:right w:w="45" w:type="dxa"/>
            </w:tcMar>
            <w:vAlign w:val="bottom"/>
            <w:hideMark/>
          </w:tcPr>
          <w:p w14:paraId="75B19371" w14:textId="77777777" w:rsidR="00EC46E8" w:rsidRPr="00D73E5A" w:rsidRDefault="00EC46E8" w:rsidP="00F26A5E">
            <w:pPr>
              <w:jc w:val="center"/>
              <w:rPr>
                <w:sz w:val="20"/>
                <w:szCs w:val="20"/>
              </w:rPr>
            </w:pPr>
          </w:p>
        </w:tc>
        <w:tc>
          <w:tcPr>
            <w:tcW w:w="900" w:type="dxa"/>
            <w:shd w:val="clear" w:color="auto" w:fill="4A86E8"/>
            <w:tcMar>
              <w:top w:w="30" w:type="dxa"/>
              <w:left w:w="45" w:type="dxa"/>
              <w:bottom w:w="30" w:type="dxa"/>
              <w:right w:w="45" w:type="dxa"/>
            </w:tcMar>
            <w:hideMark/>
          </w:tcPr>
          <w:p w14:paraId="38725BE0" w14:textId="77777777" w:rsidR="00EC46E8" w:rsidRPr="00D73E5A" w:rsidRDefault="00EC46E8" w:rsidP="00F26A5E">
            <w:pPr>
              <w:jc w:val="center"/>
              <w:rPr>
                <w:sz w:val="20"/>
                <w:szCs w:val="20"/>
              </w:rPr>
            </w:pPr>
            <w:r w:rsidRPr="00D73E5A">
              <w:rPr>
                <w:sz w:val="20"/>
                <w:szCs w:val="20"/>
              </w:rPr>
              <w:t>High</w:t>
            </w:r>
          </w:p>
        </w:tc>
      </w:tr>
      <w:tr w:rsidR="00EC46E8" w14:paraId="3336EDD9" w14:textId="77777777" w:rsidTr="00EC46E8">
        <w:trPr>
          <w:trHeight w:val="243"/>
        </w:trPr>
        <w:tc>
          <w:tcPr>
            <w:tcW w:w="12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F6E0872" w14:textId="77777777" w:rsidR="00EC46E8" w:rsidRPr="00D73E5A" w:rsidRDefault="00EC46E8" w:rsidP="00F26A5E">
            <w:pPr>
              <w:jc w:val="center"/>
              <w:rPr>
                <w:sz w:val="20"/>
                <w:szCs w:val="20"/>
              </w:rPr>
            </w:pPr>
            <w:r w:rsidRPr="00D73E5A">
              <w:rPr>
                <w:sz w:val="20"/>
                <w:szCs w:val="20"/>
              </w:rPr>
              <w:t>3 | 8 | 13</w:t>
            </w:r>
          </w:p>
        </w:tc>
        <w:tc>
          <w:tcPr>
            <w:tcW w:w="1170" w:type="dxa"/>
            <w:tcBorders>
              <w:top w:val="single" w:sz="4" w:space="0" w:color="auto"/>
              <w:left w:val="single" w:sz="4" w:space="0" w:color="auto"/>
              <w:bottom w:val="single" w:sz="4" w:space="0" w:color="auto"/>
              <w:right w:val="single" w:sz="4" w:space="0" w:color="auto"/>
            </w:tcBorders>
            <w:shd w:val="clear" w:color="auto" w:fill="CFE2F3"/>
          </w:tcPr>
          <w:p w14:paraId="6013CD81"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3B4705DC" w14:textId="66DDA51A" w:rsidR="00EC46E8" w:rsidRPr="00D73E5A" w:rsidRDefault="00EC46E8" w:rsidP="00F26A5E">
            <w:pPr>
              <w:jc w:val="center"/>
              <w:rPr>
                <w:sz w:val="20"/>
                <w:szCs w:val="20"/>
              </w:rPr>
            </w:pPr>
          </w:p>
        </w:tc>
        <w:tc>
          <w:tcPr>
            <w:tcW w:w="1011"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2EB899EC" w14:textId="77777777" w:rsidR="00EC46E8" w:rsidRPr="00D73E5A" w:rsidRDefault="00EC46E8" w:rsidP="00F26A5E">
            <w:pPr>
              <w:jc w:val="center"/>
              <w:rPr>
                <w:sz w:val="20"/>
                <w:szCs w:val="20"/>
              </w:rPr>
            </w:pPr>
          </w:p>
        </w:tc>
        <w:tc>
          <w:tcPr>
            <w:tcW w:w="1149"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7AF5B3C5"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3EFE7FE2"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CFE2F3"/>
          </w:tcPr>
          <w:p w14:paraId="4D379A2B"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447CC98F" w14:textId="02388449"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4A86E8"/>
            <w:tcMar>
              <w:top w:w="30" w:type="dxa"/>
              <w:left w:w="45" w:type="dxa"/>
              <w:bottom w:w="30" w:type="dxa"/>
              <w:right w:w="45" w:type="dxa"/>
            </w:tcMar>
            <w:hideMark/>
          </w:tcPr>
          <w:p w14:paraId="024D3F3B" w14:textId="77777777" w:rsidR="00EC46E8" w:rsidRPr="00D73E5A" w:rsidRDefault="00EC46E8" w:rsidP="00F26A5E">
            <w:pPr>
              <w:jc w:val="center"/>
              <w:rPr>
                <w:sz w:val="20"/>
                <w:szCs w:val="20"/>
              </w:rPr>
            </w:pPr>
          </w:p>
        </w:tc>
        <w:tc>
          <w:tcPr>
            <w:tcW w:w="265" w:type="dxa"/>
            <w:tcBorders>
              <w:left w:val="single" w:sz="4" w:space="0" w:color="auto"/>
            </w:tcBorders>
            <w:tcMar>
              <w:top w:w="30" w:type="dxa"/>
              <w:left w:w="45" w:type="dxa"/>
              <w:bottom w:w="30" w:type="dxa"/>
              <w:right w:w="45" w:type="dxa"/>
            </w:tcMar>
            <w:vAlign w:val="bottom"/>
            <w:hideMark/>
          </w:tcPr>
          <w:p w14:paraId="687F6A76" w14:textId="77777777" w:rsidR="00EC46E8" w:rsidRPr="00D73E5A" w:rsidRDefault="00EC46E8" w:rsidP="00F26A5E">
            <w:pPr>
              <w:jc w:val="center"/>
              <w:rPr>
                <w:sz w:val="20"/>
                <w:szCs w:val="20"/>
              </w:rPr>
            </w:pPr>
          </w:p>
        </w:tc>
        <w:tc>
          <w:tcPr>
            <w:tcW w:w="900" w:type="dxa"/>
            <w:shd w:val="clear" w:color="auto" w:fill="A4C2F4"/>
            <w:tcMar>
              <w:top w:w="30" w:type="dxa"/>
              <w:left w:w="45" w:type="dxa"/>
              <w:bottom w:w="30" w:type="dxa"/>
              <w:right w:w="45" w:type="dxa"/>
            </w:tcMar>
            <w:hideMark/>
          </w:tcPr>
          <w:p w14:paraId="7B241B44" w14:textId="77777777" w:rsidR="00EC46E8" w:rsidRPr="00D73E5A" w:rsidRDefault="00EC46E8" w:rsidP="00F26A5E">
            <w:pPr>
              <w:jc w:val="center"/>
              <w:rPr>
                <w:sz w:val="20"/>
                <w:szCs w:val="20"/>
              </w:rPr>
            </w:pPr>
            <w:r w:rsidRPr="00D73E5A">
              <w:rPr>
                <w:sz w:val="20"/>
                <w:szCs w:val="20"/>
              </w:rPr>
              <w:t>Medium</w:t>
            </w:r>
          </w:p>
        </w:tc>
      </w:tr>
      <w:tr w:rsidR="00EC46E8" w14:paraId="3D3C4777" w14:textId="77777777" w:rsidTr="00EC46E8">
        <w:trPr>
          <w:trHeight w:val="243"/>
        </w:trPr>
        <w:tc>
          <w:tcPr>
            <w:tcW w:w="12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D4F7845" w14:textId="77777777" w:rsidR="00EC46E8" w:rsidRPr="00D73E5A" w:rsidRDefault="00EC46E8" w:rsidP="00F26A5E">
            <w:pPr>
              <w:jc w:val="center"/>
              <w:rPr>
                <w:sz w:val="20"/>
                <w:szCs w:val="20"/>
              </w:rPr>
            </w:pPr>
            <w:r w:rsidRPr="00D73E5A">
              <w:rPr>
                <w:sz w:val="20"/>
                <w:szCs w:val="20"/>
              </w:rPr>
              <w:t>4 | 9 | 14</w:t>
            </w:r>
          </w:p>
        </w:tc>
        <w:tc>
          <w:tcPr>
            <w:tcW w:w="1170" w:type="dxa"/>
            <w:tcBorders>
              <w:top w:val="single" w:sz="4" w:space="0" w:color="auto"/>
              <w:left w:val="single" w:sz="4" w:space="0" w:color="auto"/>
              <w:bottom w:val="single" w:sz="4" w:space="0" w:color="auto"/>
              <w:right w:val="single" w:sz="4" w:space="0" w:color="auto"/>
            </w:tcBorders>
            <w:shd w:val="clear" w:color="auto" w:fill="CFE2F3"/>
          </w:tcPr>
          <w:p w14:paraId="412C2C8D"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4CC5D21F" w14:textId="72BFBFC0" w:rsidR="00EC46E8" w:rsidRPr="00D73E5A" w:rsidRDefault="00EC46E8" w:rsidP="00F26A5E">
            <w:pPr>
              <w:jc w:val="center"/>
              <w:rPr>
                <w:sz w:val="20"/>
                <w:szCs w:val="20"/>
              </w:rPr>
            </w:pPr>
          </w:p>
        </w:tc>
        <w:tc>
          <w:tcPr>
            <w:tcW w:w="1011"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5C1ACE0B" w14:textId="77777777" w:rsidR="00EC46E8" w:rsidRPr="00D73E5A" w:rsidRDefault="00EC46E8" w:rsidP="00F26A5E">
            <w:pPr>
              <w:jc w:val="center"/>
              <w:rPr>
                <w:sz w:val="20"/>
                <w:szCs w:val="20"/>
              </w:rPr>
            </w:pPr>
          </w:p>
        </w:tc>
        <w:tc>
          <w:tcPr>
            <w:tcW w:w="1149"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0B5F7396"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67E1F112"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CFE2F3"/>
          </w:tcPr>
          <w:p w14:paraId="61ED3CEB"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61EA267D" w14:textId="69223F8F"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hideMark/>
          </w:tcPr>
          <w:p w14:paraId="6ED37947" w14:textId="77777777" w:rsidR="00EC46E8" w:rsidRPr="00D73E5A" w:rsidRDefault="00EC46E8" w:rsidP="00F26A5E">
            <w:pPr>
              <w:jc w:val="center"/>
              <w:rPr>
                <w:sz w:val="20"/>
                <w:szCs w:val="20"/>
              </w:rPr>
            </w:pPr>
          </w:p>
        </w:tc>
        <w:tc>
          <w:tcPr>
            <w:tcW w:w="265" w:type="dxa"/>
            <w:tcBorders>
              <w:left w:val="single" w:sz="4" w:space="0" w:color="auto"/>
            </w:tcBorders>
            <w:tcMar>
              <w:top w:w="30" w:type="dxa"/>
              <w:left w:w="45" w:type="dxa"/>
              <w:bottom w:w="30" w:type="dxa"/>
              <w:right w:w="45" w:type="dxa"/>
            </w:tcMar>
            <w:vAlign w:val="bottom"/>
            <w:hideMark/>
          </w:tcPr>
          <w:p w14:paraId="41E079E6" w14:textId="77777777" w:rsidR="00EC46E8" w:rsidRPr="00D73E5A" w:rsidRDefault="00EC46E8" w:rsidP="00F26A5E">
            <w:pPr>
              <w:jc w:val="center"/>
              <w:rPr>
                <w:sz w:val="20"/>
                <w:szCs w:val="20"/>
              </w:rPr>
            </w:pPr>
          </w:p>
        </w:tc>
        <w:tc>
          <w:tcPr>
            <w:tcW w:w="900" w:type="dxa"/>
            <w:shd w:val="clear" w:color="auto" w:fill="CFE2F3"/>
            <w:tcMar>
              <w:top w:w="30" w:type="dxa"/>
              <w:left w:w="45" w:type="dxa"/>
              <w:bottom w:w="30" w:type="dxa"/>
              <w:right w:w="45" w:type="dxa"/>
            </w:tcMar>
            <w:hideMark/>
          </w:tcPr>
          <w:p w14:paraId="5BB155FA" w14:textId="77777777" w:rsidR="00EC46E8" w:rsidRPr="00D73E5A" w:rsidRDefault="00EC46E8" w:rsidP="00F26A5E">
            <w:pPr>
              <w:jc w:val="center"/>
              <w:rPr>
                <w:sz w:val="20"/>
                <w:szCs w:val="20"/>
              </w:rPr>
            </w:pPr>
            <w:r w:rsidRPr="00D73E5A">
              <w:rPr>
                <w:sz w:val="20"/>
                <w:szCs w:val="20"/>
              </w:rPr>
              <w:t>Low</w:t>
            </w:r>
          </w:p>
        </w:tc>
      </w:tr>
      <w:tr w:rsidR="00EC46E8" w14:paraId="6673AAD4" w14:textId="77777777" w:rsidTr="00EC46E8">
        <w:trPr>
          <w:trHeight w:val="243"/>
        </w:trPr>
        <w:tc>
          <w:tcPr>
            <w:tcW w:w="126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C8E6C6F" w14:textId="77777777" w:rsidR="00EC46E8" w:rsidRPr="00D73E5A" w:rsidRDefault="00EC46E8" w:rsidP="00F26A5E">
            <w:pPr>
              <w:jc w:val="center"/>
              <w:rPr>
                <w:sz w:val="20"/>
                <w:szCs w:val="20"/>
              </w:rPr>
            </w:pPr>
            <w:r w:rsidRPr="00D73E5A">
              <w:rPr>
                <w:sz w:val="20"/>
                <w:szCs w:val="20"/>
              </w:rPr>
              <w:t>5 | 10 | 15</w:t>
            </w:r>
          </w:p>
        </w:tc>
        <w:tc>
          <w:tcPr>
            <w:tcW w:w="1170" w:type="dxa"/>
            <w:tcBorders>
              <w:top w:val="single" w:sz="4" w:space="0" w:color="auto"/>
              <w:left w:val="single" w:sz="4" w:space="0" w:color="auto"/>
              <w:bottom w:val="single" w:sz="4" w:space="0" w:color="auto"/>
              <w:right w:val="single" w:sz="4" w:space="0" w:color="auto"/>
            </w:tcBorders>
            <w:shd w:val="clear" w:color="auto" w:fill="A4C2F4"/>
          </w:tcPr>
          <w:p w14:paraId="1AFF9314"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4C2F4"/>
            <w:tcMar>
              <w:top w:w="30" w:type="dxa"/>
              <w:left w:w="45" w:type="dxa"/>
              <w:bottom w:w="30" w:type="dxa"/>
              <w:right w:w="45" w:type="dxa"/>
            </w:tcMar>
            <w:hideMark/>
          </w:tcPr>
          <w:p w14:paraId="0EE2ADC0" w14:textId="56B5E42E" w:rsidR="00EC46E8" w:rsidRPr="00D73E5A" w:rsidRDefault="00EC46E8" w:rsidP="00F26A5E">
            <w:pPr>
              <w:jc w:val="center"/>
              <w:rPr>
                <w:sz w:val="20"/>
                <w:szCs w:val="20"/>
              </w:rPr>
            </w:pPr>
          </w:p>
        </w:tc>
        <w:tc>
          <w:tcPr>
            <w:tcW w:w="1011" w:type="dxa"/>
            <w:tcBorders>
              <w:top w:val="single" w:sz="4" w:space="0" w:color="auto"/>
              <w:left w:val="single" w:sz="4" w:space="0" w:color="auto"/>
              <w:bottom w:val="single" w:sz="4" w:space="0" w:color="auto"/>
              <w:right w:val="single" w:sz="4" w:space="0" w:color="auto"/>
            </w:tcBorders>
            <w:shd w:val="clear" w:color="auto" w:fill="A4C2F4"/>
            <w:tcMar>
              <w:top w:w="30" w:type="dxa"/>
              <w:left w:w="45" w:type="dxa"/>
              <w:bottom w:w="30" w:type="dxa"/>
              <w:right w:w="45" w:type="dxa"/>
            </w:tcMar>
            <w:hideMark/>
          </w:tcPr>
          <w:p w14:paraId="293066E8" w14:textId="77777777" w:rsidR="00EC46E8" w:rsidRPr="00D73E5A" w:rsidRDefault="00EC46E8" w:rsidP="00F26A5E">
            <w:pPr>
              <w:jc w:val="center"/>
              <w:rPr>
                <w:sz w:val="20"/>
                <w:szCs w:val="20"/>
              </w:rPr>
            </w:pPr>
          </w:p>
        </w:tc>
        <w:tc>
          <w:tcPr>
            <w:tcW w:w="1149" w:type="dxa"/>
            <w:tcBorders>
              <w:top w:val="single" w:sz="4" w:space="0" w:color="auto"/>
              <w:left w:val="single" w:sz="4" w:space="0" w:color="auto"/>
              <w:bottom w:val="single" w:sz="4" w:space="0" w:color="auto"/>
              <w:right w:val="single" w:sz="4" w:space="0" w:color="auto"/>
            </w:tcBorders>
            <w:shd w:val="clear" w:color="auto" w:fill="A4C2F4"/>
            <w:tcMar>
              <w:top w:w="30" w:type="dxa"/>
              <w:left w:w="45" w:type="dxa"/>
              <w:bottom w:w="30" w:type="dxa"/>
              <w:right w:w="45" w:type="dxa"/>
            </w:tcMar>
            <w:hideMark/>
          </w:tcPr>
          <w:p w14:paraId="40E8A90C" w14:textId="77777777"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4C2F4"/>
            <w:tcMar>
              <w:top w:w="30" w:type="dxa"/>
              <w:left w:w="45" w:type="dxa"/>
              <w:bottom w:w="30" w:type="dxa"/>
              <w:right w:w="45" w:type="dxa"/>
            </w:tcMar>
            <w:hideMark/>
          </w:tcPr>
          <w:p w14:paraId="38AA183D"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4C2F4"/>
          </w:tcPr>
          <w:p w14:paraId="6EE86103" w14:textId="77777777" w:rsidR="00EC46E8" w:rsidRPr="00D73E5A" w:rsidRDefault="00EC46E8" w:rsidP="00F26A5E">
            <w:pPr>
              <w:jc w:val="cente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4C2F4"/>
            <w:tcMar>
              <w:top w:w="30" w:type="dxa"/>
              <w:left w:w="45" w:type="dxa"/>
              <w:bottom w:w="30" w:type="dxa"/>
              <w:right w:w="45" w:type="dxa"/>
            </w:tcMar>
            <w:hideMark/>
          </w:tcPr>
          <w:p w14:paraId="70709EB2" w14:textId="6546F9C1" w:rsidR="00EC46E8" w:rsidRPr="00D73E5A" w:rsidRDefault="00EC46E8" w:rsidP="00F26A5E">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4C2F4"/>
            <w:tcMar>
              <w:top w:w="30" w:type="dxa"/>
              <w:left w:w="45" w:type="dxa"/>
              <w:bottom w:w="30" w:type="dxa"/>
              <w:right w:w="45" w:type="dxa"/>
            </w:tcMar>
            <w:hideMark/>
          </w:tcPr>
          <w:p w14:paraId="2B84F7E5" w14:textId="77777777" w:rsidR="00EC46E8" w:rsidRPr="00D73E5A" w:rsidRDefault="00EC46E8" w:rsidP="00F26A5E">
            <w:pPr>
              <w:jc w:val="center"/>
              <w:rPr>
                <w:sz w:val="20"/>
                <w:szCs w:val="20"/>
              </w:rPr>
            </w:pPr>
          </w:p>
        </w:tc>
        <w:tc>
          <w:tcPr>
            <w:tcW w:w="265" w:type="dxa"/>
            <w:tcBorders>
              <w:left w:val="single" w:sz="4" w:space="0" w:color="auto"/>
            </w:tcBorders>
            <w:tcMar>
              <w:top w:w="30" w:type="dxa"/>
              <w:left w:w="45" w:type="dxa"/>
              <w:bottom w:w="30" w:type="dxa"/>
              <w:right w:w="45" w:type="dxa"/>
            </w:tcMar>
            <w:vAlign w:val="bottom"/>
            <w:hideMark/>
          </w:tcPr>
          <w:p w14:paraId="2726CEF4" w14:textId="77777777" w:rsidR="00EC46E8" w:rsidRPr="00D73E5A" w:rsidRDefault="00EC46E8" w:rsidP="00F26A5E">
            <w:pPr>
              <w:jc w:val="center"/>
              <w:rPr>
                <w:sz w:val="20"/>
                <w:szCs w:val="20"/>
              </w:rPr>
            </w:pPr>
          </w:p>
        </w:tc>
        <w:tc>
          <w:tcPr>
            <w:tcW w:w="900" w:type="dxa"/>
            <w:tcMar>
              <w:top w:w="30" w:type="dxa"/>
              <w:left w:w="45" w:type="dxa"/>
              <w:bottom w:w="30" w:type="dxa"/>
              <w:right w:w="45" w:type="dxa"/>
            </w:tcMar>
            <w:vAlign w:val="bottom"/>
            <w:hideMark/>
          </w:tcPr>
          <w:p w14:paraId="16DE3A6A" w14:textId="77777777" w:rsidR="00EC46E8" w:rsidRPr="00D73E5A" w:rsidRDefault="00EC46E8" w:rsidP="00F26A5E">
            <w:pPr>
              <w:keepNext/>
              <w:jc w:val="center"/>
              <w:rPr>
                <w:sz w:val="20"/>
                <w:szCs w:val="20"/>
              </w:rPr>
            </w:pPr>
          </w:p>
        </w:tc>
      </w:tr>
    </w:tbl>
    <w:p w14:paraId="7E6D7B4D" w14:textId="77777777" w:rsidR="00EC46E8" w:rsidRDefault="00EC46E8" w:rsidP="00EC46E8">
      <w:pPr>
        <w:pStyle w:val="Caption"/>
        <w:jc w:val="center"/>
      </w:pPr>
      <w:r>
        <w:t xml:space="preserve">Table </w:t>
      </w:r>
      <w:r w:rsidR="006F6366">
        <w:fldChar w:fldCharType="begin"/>
      </w:r>
      <w:r w:rsidR="006F6366">
        <w:instrText xml:space="preserve"> SEQ Table \* ARABIC </w:instrText>
      </w:r>
      <w:r w:rsidR="006F6366">
        <w:fldChar w:fldCharType="separate"/>
      </w:r>
      <w:r>
        <w:rPr>
          <w:noProof/>
        </w:rPr>
        <w:t>1</w:t>
      </w:r>
      <w:r w:rsidR="006F6366">
        <w:rPr>
          <w:noProof/>
        </w:rPr>
        <w:fldChar w:fldCharType="end"/>
      </w:r>
      <w:r>
        <w:t>: Schematic of parameters varied across simulations.</w:t>
      </w:r>
    </w:p>
    <w:p w14:paraId="727C9B91" w14:textId="77777777" w:rsidR="00201B0D" w:rsidRDefault="00201B0D">
      <w:pPr>
        <w:pStyle w:val="BodyText"/>
      </w:pPr>
    </w:p>
    <w:p w14:paraId="31690349" w14:textId="77777777" w:rsidR="00201B0D" w:rsidRDefault="00201B0D" w:rsidP="00201B0D">
      <w:pPr>
        <w:pStyle w:val="BodyText"/>
        <w:keepNext/>
        <w:jc w:val="center"/>
      </w:pPr>
      <w:r>
        <w:rPr>
          <w:noProof/>
        </w:rPr>
        <w:lastRenderedPageBreak/>
        <w:drawing>
          <wp:inline distT="0" distB="0" distL="0" distR="0" wp14:anchorId="72011BB3" wp14:editId="2F90A41B">
            <wp:extent cx="3328436" cy="770295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3057" cy="7713645"/>
                    </a:xfrm>
                    <a:prstGeom prst="rect">
                      <a:avLst/>
                    </a:prstGeom>
                  </pic:spPr>
                </pic:pic>
              </a:graphicData>
            </a:graphic>
          </wp:inline>
        </w:drawing>
      </w:r>
    </w:p>
    <w:p w14:paraId="24AFD9DE" w14:textId="1F5E2343" w:rsidR="002E5437" w:rsidRDefault="00201B0D" w:rsidP="00201B0D">
      <w:pPr>
        <w:pStyle w:val="Caption"/>
        <w:jc w:val="center"/>
      </w:pPr>
      <w:r>
        <w:t xml:space="preserve">Figure </w:t>
      </w:r>
      <w:r w:rsidR="006F6366">
        <w:fldChar w:fldCharType="begin"/>
      </w:r>
      <w:r w:rsidR="006F6366">
        <w:instrText xml:space="preserve"> SEQ Figure \* ARABIC </w:instrText>
      </w:r>
      <w:r w:rsidR="006F6366">
        <w:fldChar w:fldCharType="separate"/>
      </w:r>
      <w:r w:rsidR="00D06E78">
        <w:rPr>
          <w:noProof/>
        </w:rPr>
        <w:t>3</w:t>
      </w:r>
      <w:r w:rsidR="006F6366">
        <w:rPr>
          <w:noProof/>
        </w:rPr>
        <w:fldChar w:fldCharType="end"/>
      </w:r>
      <w:r>
        <w:t>: Directed acyclic graph (DAG) for full IPM (top); DAG for counts + productivity model (center); DAG for counts + survival model (bottom)</w:t>
      </w:r>
      <w:r w:rsidR="00A92225">
        <w:t>.</w:t>
      </w:r>
    </w:p>
    <w:p w14:paraId="0945E508" w14:textId="666B88BF" w:rsidR="002E5437" w:rsidRDefault="00D06E78">
      <w:pPr>
        <w:pStyle w:val="BodyText"/>
      </w:pPr>
      <w:r>
        <w:rPr>
          <w:i/>
        </w:rPr>
        <w:lastRenderedPageBreak/>
        <w:t>Estimation and diagnostics</w:t>
      </w:r>
      <w:r>
        <w:br/>
      </w:r>
      <w:r w:rsidR="005C5858">
        <w:t>We ran m</w:t>
      </w:r>
      <w:r>
        <w:t xml:space="preserve">odels in NIMBLE using program R (NIMBLE 2020). We ran 45,000 iterations with the first 35,000 as a burn-in. We thinned samples to reduce autocorrelation and retained every 10th sample, for a total of 1,000 samples. Model convergence was assessed visually using </w:t>
      </w:r>
      <w:proofErr w:type="spellStart"/>
      <w:r>
        <w:t>traceplots</w:t>
      </w:r>
      <w:proofErr w:type="spellEnd"/>
      <w:r>
        <w:t xml:space="preserve"> and </w:t>
      </w:r>
      <w:r w:rsidR="00A92225">
        <w:t>a</w:t>
      </w:r>
      <w:r>
        <w:t xml:space="preserve"> Brooks-Gelman-Rubin statistic (</w:t>
      </w:r>
      <w:proofErr w:type="spellStart"/>
      <w:r>
        <w:t>Rhat</w:t>
      </w:r>
      <w:proofErr w:type="spellEnd"/>
      <w:r>
        <w:t>)</w:t>
      </w:r>
      <w:r w:rsidR="00A92225">
        <w:t xml:space="preserve"> </w:t>
      </w:r>
      <w:r w:rsidR="00966C2E">
        <w:t>&lt;1.1. Some parameters did not converge in some simulations. In future work</w:t>
      </w:r>
      <w:r w:rsidR="005C5858">
        <w:t>,</w:t>
      </w:r>
      <w:r w:rsidR="00966C2E">
        <w:t xml:space="preserve"> we should run these simulations longer</w:t>
      </w:r>
      <w:r>
        <w:t>. We examined model performance using relative bias and root mean square error (RMSE).</w:t>
      </w:r>
    </w:p>
    <w:p w14:paraId="59700D0A" w14:textId="77777777" w:rsidR="00201B0D" w:rsidRPr="001C0DBF" w:rsidRDefault="00D06E78" w:rsidP="001C0DBF">
      <w:pPr>
        <w:pStyle w:val="BodyText"/>
      </w:pPr>
      <w:r>
        <w:rPr>
          <w:b/>
        </w:rPr>
        <w:t>Results</w:t>
      </w:r>
    </w:p>
    <w:p w14:paraId="3AB12E1F" w14:textId="77777777" w:rsidR="00D06E78" w:rsidRDefault="00201B0D" w:rsidP="00D06E78">
      <w:pPr>
        <w:keepNext/>
        <w:jc w:val="center"/>
      </w:pPr>
      <w:r>
        <w:fldChar w:fldCharType="begin"/>
      </w:r>
      <w:r>
        <w:instrText xml:space="preserve"> INCLUDEPICTURE "https://lh4.googleusercontent.com/I2Ya3bfpyEk1knQ0clzzisvJowl2LBwOu9ir9ZcycCsPGa9Hzq0QuGtIsVJH8lLiZZWrimhHXBSeuI2ZFNAfGspov1amfpUGevDIEEbomy-jnNGwicHvdKlnshAmnaff9qfUCyWQLW4" \* MERGEFORMATINET </w:instrText>
      </w:r>
      <w:r>
        <w:fldChar w:fldCharType="separate"/>
      </w:r>
      <w:r w:rsidR="00D06E78">
        <w:rPr>
          <w:noProof/>
        </w:rPr>
        <w:drawing>
          <wp:inline distT="0" distB="0" distL="0" distR="0" wp14:anchorId="5AF45FDF" wp14:editId="6C0ED376">
            <wp:extent cx="5486400" cy="4085590"/>
            <wp:effectExtent l="0" t="0" r="0" b="0"/>
            <wp:docPr id="18" name="Picture 18"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A picture containing diagram&#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4085590"/>
                    </a:xfrm>
                    <a:prstGeom prst="rect">
                      <a:avLst/>
                    </a:prstGeom>
                    <a:noFill/>
                    <a:ln>
                      <a:noFill/>
                    </a:ln>
                  </pic:spPr>
                </pic:pic>
              </a:graphicData>
            </a:graphic>
          </wp:inline>
        </w:drawing>
      </w:r>
      <w:r>
        <w:fldChar w:fldCharType="end"/>
      </w:r>
    </w:p>
    <w:p w14:paraId="3A432DE9" w14:textId="77777777" w:rsidR="00201B0D" w:rsidRDefault="00D06E78" w:rsidP="00D06E78">
      <w:pPr>
        <w:pStyle w:val="Caption"/>
        <w:jc w:val="center"/>
      </w:pPr>
      <w:r>
        <w:t xml:space="preserve">Figure </w:t>
      </w:r>
      <w:r w:rsidR="006F6366">
        <w:fldChar w:fldCharType="begin"/>
      </w:r>
      <w:r w:rsidR="006F6366">
        <w:instrText xml:space="preserve"> SEQ Figure \* ARAB</w:instrText>
      </w:r>
      <w:r w:rsidR="006F6366">
        <w:instrText xml:space="preserve">IC </w:instrText>
      </w:r>
      <w:r w:rsidR="006F6366">
        <w:fldChar w:fldCharType="separate"/>
      </w:r>
      <w:r>
        <w:rPr>
          <w:noProof/>
        </w:rPr>
        <w:t>4</w:t>
      </w:r>
      <w:r w:rsidR="006F6366">
        <w:rPr>
          <w:noProof/>
        </w:rPr>
        <w:fldChar w:fldCharType="end"/>
      </w:r>
      <w:r>
        <w:t>: Posterior medians of parameters estimated in each scenario. Red dots represent the true parameter value.</w:t>
      </w:r>
    </w:p>
    <w:p w14:paraId="3E450488" w14:textId="77777777" w:rsidR="00201B0D" w:rsidRDefault="00201B0D" w:rsidP="00201B0D">
      <w:pPr>
        <w:pStyle w:val="Compact"/>
      </w:pPr>
    </w:p>
    <w:p w14:paraId="78CBBAC8" w14:textId="77777777" w:rsidR="00D06E78" w:rsidRDefault="00201B0D" w:rsidP="00D06E78">
      <w:pPr>
        <w:keepNext/>
        <w:jc w:val="center"/>
      </w:pPr>
      <w:r>
        <w:lastRenderedPageBreak/>
        <w:fldChar w:fldCharType="begin"/>
      </w:r>
      <w:r>
        <w:instrText xml:space="preserve"> INCLUDEPICTURE "https://lh5.googleusercontent.com/3Aw8qv4TeeAdbe-ZS9VrWf7yP26HuwpCDsPEqoVlHdytCoNmnsRW4iyGLYEvzMN7Wi6nTDmkxbIl1T5_nupRvUizObVfHCwuiZZGPLkSKICkYzZ5J3bpTT8j6xjHFQqwnUlr_Y9fQcU" \* MERGEFORMATINET </w:instrText>
      </w:r>
      <w:r>
        <w:fldChar w:fldCharType="separate"/>
      </w:r>
      <w:r w:rsidR="00D06E78">
        <w:rPr>
          <w:noProof/>
        </w:rPr>
        <w:drawing>
          <wp:inline distT="0" distB="0" distL="0" distR="0" wp14:anchorId="0FD353D3" wp14:editId="3943862B">
            <wp:extent cx="5486400" cy="408559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4085590"/>
                    </a:xfrm>
                    <a:prstGeom prst="rect">
                      <a:avLst/>
                    </a:prstGeom>
                    <a:noFill/>
                    <a:ln>
                      <a:noFill/>
                    </a:ln>
                  </pic:spPr>
                </pic:pic>
              </a:graphicData>
            </a:graphic>
          </wp:inline>
        </w:drawing>
      </w:r>
      <w:r>
        <w:fldChar w:fldCharType="end"/>
      </w:r>
    </w:p>
    <w:p w14:paraId="3AC981A5" w14:textId="77777777" w:rsidR="001C0DBF" w:rsidRDefault="00D06E78" w:rsidP="00ED789F">
      <w:pPr>
        <w:pStyle w:val="Caption"/>
        <w:jc w:val="center"/>
      </w:pPr>
      <w:r>
        <w:t xml:space="preserve">Figure </w:t>
      </w:r>
      <w:r w:rsidR="006F6366">
        <w:fldChar w:fldCharType="begin"/>
      </w:r>
      <w:r w:rsidR="006F6366">
        <w:instrText xml:space="preserve"> SEQ Figure \* ARABIC </w:instrText>
      </w:r>
      <w:r w:rsidR="006F6366">
        <w:fldChar w:fldCharType="separate"/>
      </w:r>
      <w:r>
        <w:rPr>
          <w:noProof/>
        </w:rPr>
        <w:t>5</w:t>
      </w:r>
      <w:r w:rsidR="006F6366">
        <w:rPr>
          <w:noProof/>
        </w:rPr>
        <w:fldChar w:fldCharType="end"/>
      </w:r>
      <w:r>
        <w:t>: Relative bias of parameter estimates. Dotted lines at 0 indicate unbiased estimates.</w:t>
      </w:r>
    </w:p>
    <w:p w14:paraId="5F7F5B80" w14:textId="77777777" w:rsidR="00ED789F" w:rsidRPr="00ED789F" w:rsidRDefault="00ED789F" w:rsidP="00ED789F">
      <w:pPr>
        <w:pStyle w:val="Caption"/>
        <w:jc w:val="cente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54"/>
        <w:gridCol w:w="945"/>
        <w:gridCol w:w="945"/>
        <w:gridCol w:w="945"/>
        <w:gridCol w:w="945"/>
        <w:gridCol w:w="945"/>
        <w:gridCol w:w="945"/>
        <w:gridCol w:w="946"/>
      </w:tblGrid>
      <w:tr w:rsidR="001C0DBF" w:rsidRPr="001C0DBF" w14:paraId="0C40DA57" w14:textId="77777777" w:rsidTr="00DA2973">
        <w:trPr>
          <w:cantSplit/>
          <w:trHeight w:val="569"/>
          <w:tblHeader/>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center"/>
            <w:hideMark/>
          </w:tcPr>
          <w:p w14:paraId="33E61F0F" w14:textId="77777777" w:rsidR="001C0DBF" w:rsidRPr="001C0DBF" w:rsidRDefault="001C0DBF" w:rsidP="00ED789F">
            <w:pPr>
              <w:jc w:val="center"/>
              <w:rPr>
                <w:sz w:val="20"/>
                <w:szCs w:val="20"/>
              </w:rPr>
            </w:pPr>
            <w:r>
              <w:rPr>
                <w:sz w:val="20"/>
                <w:szCs w:val="20"/>
              </w:rPr>
              <w:t>Model type</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1E4248F6" w14:textId="77777777" w:rsidR="001C0DBF" w:rsidRPr="001C0DBF" w:rsidRDefault="00ED789F" w:rsidP="00ED789F">
            <w:pPr>
              <w:jc w:val="center"/>
              <w:rPr>
                <w:sz w:val="20"/>
                <w:szCs w:val="20"/>
              </w:rPr>
            </w:pPr>
            <w:r>
              <w:rPr>
                <w:color w:val="000000"/>
                <w:sz w:val="20"/>
                <w:szCs w:val="20"/>
              </w:rPr>
              <w:t>Scenario</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6FF5B5EB" w14:textId="77777777" w:rsidR="001C0DBF" w:rsidRPr="001C0DBF" w:rsidRDefault="006F6366" w:rsidP="00ED789F">
            <w:pPr>
              <w:jc w:val="center"/>
              <w:rPr>
                <w:sz w:val="20"/>
                <w:szCs w:val="20"/>
              </w:rPr>
            </w:pPr>
            <m:oMathPara>
              <m:oMath>
                <m:sSub>
                  <m:sSubPr>
                    <m:ctrlPr>
                      <w:rPr>
                        <w:rFonts w:ascii="Cambria Math" w:hAnsi="Cambria Math"/>
                      </w:rPr>
                    </m:ctrlPr>
                  </m:sSubPr>
                  <m:e>
                    <m:r>
                      <w:rPr>
                        <w:rFonts w:ascii="Cambria Math" w:hAnsi="Cambria Math"/>
                      </w:rPr>
                      <m:t>ϕ</m:t>
                    </m:r>
                  </m:e>
                  <m:sub>
                    <m:r>
                      <w:rPr>
                        <w:rFonts w:ascii="Cambria Math" w:hAnsi="Cambria Math"/>
                      </w:rPr>
                      <m:t>1</m:t>
                    </m:r>
                  </m:sub>
                </m:sSub>
              </m:oMath>
            </m:oMathPara>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4050ED2F" w14:textId="77777777" w:rsidR="001C0DBF" w:rsidRPr="001C0DBF" w:rsidRDefault="006F6366" w:rsidP="00ED789F">
            <w:pPr>
              <w:jc w:val="center"/>
              <w:rPr>
                <w:sz w:val="20"/>
                <w:szCs w:val="20"/>
              </w:rPr>
            </w:pPr>
            <m:oMathPara>
              <m:oMath>
                <m:sSub>
                  <m:sSubPr>
                    <m:ctrlPr>
                      <w:rPr>
                        <w:rFonts w:ascii="Cambria Math" w:hAnsi="Cambria Math"/>
                      </w:rPr>
                    </m:ctrlPr>
                  </m:sSubPr>
                  <m:e>
                    <m:r>
                      <w:rPr>
                        <w:rFonts w:ascii="Cambria Math" w:hAnsi="Cambria Math"/>
                      </w:rPr>
                      <m:t>ϕ</m:t>
                    </m:r>
                  </m:e>
                  <m:sub>
                    <m:r>
                      <w:rPr>
                        <w:rFonts w:ascii="Cambria Math" w:hAnsi="Cambria Math"/>
                      </w:rPr>
                      <m:t>ad</m:t>
                    </m:r>
                  </m:sub>
                </m:sSub>
              </m:oMath>
            </m:oMathPara>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7BA804CE" w14:textId="77777777" w:rsidR="001C0DBF" w:rsidRPr="001C0DBF" w:rsidRDefault="00ED789F" w:rsidP="00ED789F">
            <w:pPr>
              <w:jc w:val="center"/>
              <w:rPr>
                <w:sz w:val="20"/>
                <w:szCs w:val="20"/>
              </w:rPr>
            </w:pPr>
            <m:oMathPara>
              <m:oMath>
                <m:r>
                  <w:rPr>
                    <w:rFonts w:ascii="Cambria Math" w:hAnsi="Cambria Math"/>
                  </w:rPr>
                  <m:t>f</m:t>
                </m:r>
              </m:oMath>
            </m:oMathPara>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77CD3FC7" w14:textId="77777777" w:rsidR="001C0DBF" w:rsidRPr="001C0DBF" w:rsidRDefault="006F6366" w:rsidP="00ED789F">
            <w:pPr>
              <w:jc w:val="center"/>
              <w:rPr>
                <w:sz w:val="20"/>
                <w:szCs w:val="20"/>
              </w:rPr>
            </w:pPr>
            <m:oMathPara>
              <m:oMath>
                <m:sSub>
                  <m:sSubPr>
                    <m:ctrlPr>
                      <w:rPr>
                        <w:rFonts w:ascii="Cambria Math" w:hAnsi="Cambria Math"/>
                      </w:rPr>
                    </m:ctrlPr>
                  </m:sSubPr>
                  <m:e>
                    <m:r>
                      <w:rPr>
                        <w:rFonts w:ascii="Cambria Math" w:hAnsi="Cambria Math"/>
                      </w:rPr>
                      <m:t>ϕ</m:t>
                    </m:r>
                  </m:e>
                  <m:sub>
                    <m:r>
                      <w:rPr>
                        <w:rFonts w:ascii="Cambria Math" w:hAnsi="Cambria Math"/>
                      </w:rPr>
                      <m:t>n</m:t>
                    </m:r>
                  </m:sub>
                </m:sSub>
              </m:oMath>
            </m:oMathPara>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1814B9B2" w14:textId="77777777" w:rsidR="001C0DBF" w:rsidRPr="001C0DBF" w:rsidRDefault="006F6366" w:rsidP="00ED789F">
            <w:pPr>
              <w:jc w:val="center"/>
              <w:rPr>
                <w:sz w:val="20"/>
                <w:szCs w:val="20"/>
              </w:rPr>
            </w:pPr>
            <m:oMathPara>
              <m:oMath>
                <m:sSub>
                  <m:sSubPr>
                    <m:ctrlPr>
                      <w:rPr>
                        <w:rFonts w:ascii="Cambria Math" w:hAnsi="Cambria Math"/>
                      </w:rPr>
                    </m:ctrlPr>
                  </m:sSubPr>
                  <m:e>
                    <m:r>
                      <w:rPr>
                        <w:rFonts w:ascii="Cambria Math" w:hAnsi="Cambria Math"/>
                      </w:rPr>
                      <m:t>p</m:t>
                    </m:r>
                  </m:e>
                  <m:sub>
                    <m:r>
                      <w:rPr>
                        <w:rFonts w:ascii="Cambria Math" w:hAnsi="Cambria Math"/>
                      </w:rPr>
                      <m:t>s</m:t>
                    </m:r>
                  </m:sub>
                </m:sSub>
              </m:oMath>
            </m:oMathPara>
          </w:p>
        </w:tc>
        <w:tc>
          <w:tcPr>
            <w:tcW w:w="946" w:type="dxa"/>
            <w:tcBorders>
              <w:top w:val="single" w:sz="4" w:space="0" w:color="auto"/>
              <w:left w:val="single" w:sz="4" w:space="0" w:color="auto"/>
              <w:bottom w:val="single" w:sz="4" w:space="0" w:color="auto"/>
            </w:tcBorders>
            <w:tcMar>
              <w:top w:w="15" w:type="dxa"/>
              <w:left w:w="15" w:type="dxa"/>
              <w:bottom w:w="150" w:type="dxa"/>
              <w:right w:w="15" w:type="dxa"/>
            </w:tcMar>
            <w:vAlign w:val="center"/>
            <w:hideMark/>
          </w:tcPr>
          <w:p w14:paraId="6E2493A4" w14:textId="77777777" w:rsidR="001C0DBF" w:rsidRPr="001C0DBF" w:rsidRDefault="006F6366" w:rsidP="00ED789F">
            <w:pPr>
              <w:jc w:val="center"/>
              <w:rPr>
                <w:sz w:val="20"/>
                <w:szCs w:val="20"/>
              </w:rPr>
            </w:pPr>
            <m:oMathPara>
              <m:oMath>
                <m:sSub>
                  <m:sSubPr>
                    <m:ctrlPr>
                      <w:rPr>
                        <w:rFonts w:ascii="Cambria Math" w:hAnsi="Cambria Math"/>
                      </w:rPr>
                    </m:ctrlPr>
                  </m:sSubPr>
                  <m:e>
                    <m:r>
                      <w:rPr>
                        <w:rFonts w:ascii="Cambria Math" w:hAnsi="Cambria Math"/>
                      </w:rPr>
                      <m:t>p</m:t>
                    </m:r>
                  </m:e>
                  <m:sub>
                    <m:r>
                      <w:rPr>
                        <w:rFonts w:ascii="Cambria Math" w:hAnsi="Cambria Math"/>
                      </w:rPr>
                      <m:t>mr</m:t>
                    </m:r>
                  </m:sub>
                </m:sSub>
              </m:oMath>
            </m:oMathPara>
          </w:p>
        </w:tc>
      </w:tr>
      <w:tr w:rsidR="001C0DBF" w:rsidRPr="001C0DBF" w14:paraId="75B2BCFA"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2F04F47A" w14:textId="77777777" w:rsidR="001C0DBF" w:rsidRPr="001C0DBF" w:rsidRDefault="001C0DBF" w:rsidP="00DA2973">
            <w:pPr>
              <w:jc w:val="center"/>
              <w:rPr>
                <w:sz w:val="20"/>
                <w:szCs w:val="20"/>
              </w:rPr>
            </w:pPr>
            <w:r>
              <w:rPr>
                <w:color w:val="000000"/>
                <w:sz w:val="20"/>
                <w:szCs w:val="20"/>
              </w:rPr>
              <w:t>Full IPM</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6C23C0FD" w14:textId="77777777" w:rsidR="001C0DBF" w:rsidRPr="001C0DBF" w:rsidRDefault="001C0DBF" w:rsidP="00DA2973">
            <w:pPr>
              <w:jc w:val="center"/>
              <w:rPr>
                <w:sz w:val="20"/>
                <w:szCs w:val="20"/>
              </w:rPr>
            </w:pPr>
            <w:r w:rsidRPr="001C0DBF">
              <w:rPr>
                <w:color w:val="000000"/>
                <w:sz w:val="20"/>
                <w:szCs w:val="20"/>
              </w:rPr>
              <w:t>1</w:t>
            </w:r>
          </w:p>
        </w:tc>
        <w:tc>
          <w:tcPr>
            <w:tcW w:w="945" w:type="dxa"/>
            <w:tcBorders>
              <w:top w:val="single" w:sz="4" w:space="0" w:color="auto"/>
              <w:left w:val="single" w:sz="4" w:space="0" w:color="auto"/>
              <w:bottom w:val="single" w:sz="4" w:space="0" w:color="auto"/>
              <w:right w:val="single" w:sz="4" w:space="0" w:color="auto"/>
            </w:tcBorders>
            <w:shd w:val="clear" w:color="auto" w:fill="FFE683"/>
            <w:tcMar>
              <w:top w:w="15" w:type="dxa"/>
              <w:left w:w="15" w:type="dxa"/>
              <w:bottom w:w="150" w:type="dxa"/>
              <w:right w:w="15" w:type="dxa"/>
            </w:tcMar>
            <w:vAlign w:val="bottom"/>
            <w:hideMark/>
          </w:tcPr>
          <w:p w14:paraId="32AF8D7E" w14:textId="77777777" w:rsidR="001C0DBF" w:rsidRPr="001C0DBF" w:rsidRDefault="001C0DBF" w:rsidP="00DA2973">
            <w:pPr>
              <w:jc w:val="center"/>
              <w:rPr>
                <w:sz w:val="20"/>
                <w:szCs w:val="20"/>
              </w:rPr>
            </w:pPr>
            <w:r w:rsidRPr="001C0DBF">
              <w:rPr>
                <w:color w:val="000000"/>
                <w:sz w:val="20"/>
                <w:szCs w:val="20"/>
              </w:rPr>
              <w:t>0.07</w:t>
            </w:r>
          </w:p>
        </w:tc>
        <w:tc>
          <w:tcPr>
            <w:tcW w:w="945" w:type="dxa"/>
            <w:tcBorders>
              <w:top w:val="single" w:sz="4" w:space="0" w:color="auto"/>
              <w:left w:val="single" w:sz="4" w:space="0" w:color="auto"/>
              <w:bottom w:val="single" w:sz="4" w:space="0" w:color="auto"/>
              <w:right w:val="single" w:sz="4" w:space="0" w:color="auto"/>
            </w:tcBorders>
            <w:shd w:val="clear" w:color="auto" w:fill="B1D47F"/>
            <w:tcMar>
              <w:top w:w="15" w:type="dxa"/>
              <w:left w:w="15" w:type="dxa"/>
              <w:bottom w:w="150" w:type="dxa"/>
              <w:right w:w="15" w:type="dxa"/>
            </w:tcMar>
            <w:vAlign w:val="bottom"/>
            <w:hideMark/>
          </w:tcPr>
          <w:p w14:paraId="13D3DDB0" w14:textId="77777777" w:rsidR="001C0DBF" w:rsidRPr="001C0DBF" w:rsidRDefault="001C0DBF" w:rsidP="00DA2973">
            <w:pPr>
              <w:jc w:val="center"/>
              <w:rPr>
                <w:sz w:val="20"/>
                <w:szCs w:val="20"/>
              </w:rPr>
            </w:pPr>
            <w:r w:rsidRPr="001C0DBF">
              <w:rPr>
                <w:color w:val="000000"/>
                <w:sz w:val="20"/>
                <w:szCs w:val="20"/>
              </w:rPr>
              <w:t>0.03</w:t>
            </w:r>
          </w:p>
        </w:tc>
        <w:tc>
          <w:tcPr>
            <w:tcW w:w="945" w:type="dxa"/>
            <w:tcBorders>
              <w:top w:val="single" w:sz="4" w:space="0" w:color="auto"/>
              <w:left w:val="single" w:sz="4" w:space="0" w:color="auto"/>
              <w:bottom w:val="single" w:sz="4" w:space="0" w:color="auto"/>
              <w:right w:val="single" w:sz="4" w:space="0" w:color="auto"/>
            </w:tcBorders>
            <w:shd w:val="clear" w:color="auto" w:fill="CBDC81"/>
            <w:tcMar>
              <w:top w:w="15" w:type="dxa"/>
              <w:left w:w="15" w:type="dxa"/>
              <w:bottom w:w="150" w:type="dxa"/>
              <w:right w:w="15" w:type="dxa"/>
            </w:tcMar>
            <w:vAlign w:val="bottom"/>
            <w:hideMark/>
          </w:tcPr>
          <w:p w14:paraId="41EC6448" w14:textId="77777777" w:rsidR="001C0DBF" w:rsidRPr="001C0DBF" w:rsidRDefault="001C0DBF" w:rsidP="00DA2973">
            <w:pPr>
              <w:jc w:val="center"/>
              <w:rPr>
                <w:sz w:val="20"/>
                <w:szCs w:val="20"/>
              </w:rPr>
            </w:pPr>
            <w:r w:rsidRPr="001C0DBF">
              <w:rPr>
                <w:color w:val="000000"/>
                <w:sz w:val="20"/>
                <w:szCs w:val="20"/>
              </w:rPr>
              <w:t>0.04</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24CFF29A"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FDB81"/>
            <w:tcMar>
              <w:top w:w="15" w:type="dxa"/>
              <w:left w:w="15" w:type="dxa"/>
              <w:bottom w:w="150" w:type="dxa"/>
              <w:right w:w="15" w:type="dxa"/>
            </w:tcMar>
            <w:vAlign w:val="bottom"/>
            <w:hideMark/>
          </w:tcPr>
          <w:p w14:paraId="589ACC9E" w14:textId="77777777" w:rsidR="001C0DBF" w:rsidRPr="001C0DBF" w:rsidRDefault="001C0DBF" w:rsidP="00DA2973">
            <w:pPr>
              <w:jc w:val="center"/>
              <w:rPr>
                <w:sz w:val="20"/>
                <w:szCs w:val="20"/>
              </w:rPr>
            </w:pPr>
            <w:r w:rsidRPr="001C0DBF">
              <w:rPr>
                <w:color w:val="000000"/>
                <w:sz w:val="20"/>
                <w:szCs w:val="20"/>
              </w:rPr>
              <w:t>0.09</w:t>
            </w:r>
          </w:p>
        </w:tc>
        <w:tc>
          <w:tcPr>
            <w:tcW w:w="946" w:type="dxa"/>
            <w:tcBorders>
              <w:top w:val="single" w:sz="4" w:space="0" w:color="auto"/>
              <w:left w:val="single" w:sz="4" w:space="0" w:color="auto"/>
              <w:bottom w:val="single" w:sz="4" w:space="0" w:color="auto"/>
            </w:tcBorders>
            <w:shd w:val="clear" w:color="auto" w:fill="CBDC81"/>
            <w:tcMar>
              <w:top w:w="15" w:type="dxa"/>
              <w:left w:w="15" w:type="dxa"/>
              <w:bottom w:w="150" w:type="dxa"/>
              <w:right w:w="15" w:type="dxa"/>
            </w:tcMar>
            <w:vAlign w:val="bottom"/>
            <w:hideMark/>
          </w:tcPr>
          <w:p w14:paraId="45A8BEF6" w14:textId="77777777" w:rsidR="001C0DBF" w:rsidRPr="001C0DBF" w:rsidRDefault="001C0DBF" w:rsidP="00DA2973">
            <w:pPr>
              <w:jc w:val="center"/>
              <w:rPr>
                <w:sz w:val="20"/>
                <w:szCs w:val="20"/>
              </w:rPr>
            </w:pPr>
            <w:r w:rsidRPr="001C0DBF">
              <w:rPr>
                <w:color w:val="000000"/>
                <w:sz w:val="20"/>
                <w:szCs w:val="20"/>
              </w:rPr>
              <w:t>0.04</w:t>
            </w:r>
          </w:p>
        </w:tc>
      </w:tr>
      <w:tr w:rsidR="001C0DBF" w:rsidRPr="001C0DBF" w14:paraId="7C3F8E0D"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6508CC50" w14:textId="77777777" w:rsidR="001C0DBF" w:rsidRPr="001C0DBF" w:rsidRDefault="001C0DBF" w:rsidP="00DA2973">
            <w:pPr>
              <w:jc w:val="center"/>
              <w:rPr>
                <w:sz w:val="20"/>
                <w:szCs w:val="20"/>
              </w:rPr>
            </w:pPr>
            <w:r>
              <w:rPr>
                <w:color w:val="000000"/>
                <w:sz w:val="20"/>
                <w:szCs w:val="20"/>
              </w:rPr>
              <w:t>Full IPM</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1D92FEE4" w14:textId="77777777" w:rsidR="001C0DBF" w:rsidRPr="001C0DBF" w:rsidRDefault="001C0DBF" w:rsidP="00DA2973">
            <w:pPr>
              <w:jc w:val="center"/>
              <w:rPr>
                <w:sz w:val="20"/>
                <w:szCs w:val="20"/>
              </w:rPr>
            </w:pPr>
            <w:r w:rsidRPr="001C0DBF">
              <w:rPr>
                <w:color w:val="000000"/>
                <w:sz w:val="20"/>
                <w:szCs w:val="20"/>
              </w:rPr>
              <w:t>2</w:t>
            </w:r>
          </w:p>
        </w:tc>
        <w:tc>
          <w:tcPr>
            <w:tcW w:w="945" w:type="dxa"/>
            <w:tcBorders>
              <w:top w:val="single" w:sz="4" w:space="0" w:color="auto"/>
              <w:left w:val="single" w:sz="4" w:space="0" w:color="auto"/>
              <w:bottom w:val="single" w:sz="4" w:space="0" w:color="auto"/>
              <w:right w:val="single" w:sz="4" w:space="0" w:color="auto"/>
            </w:tcBorders>
            <w:shd w:val="clear" w:color="auto" w:fill="FFEB84"/>
            <w:tcMar>
              <w:top w:w="15" w:type="dxa"/>
              <w:left w:w="15" w:type="dxa"/>
              <w:bottom w:w="150" w:type="dxa"/>
              <w:right w:w="15" w:type="dxa"/>
            </w:tcMar>
            <w:vAlign w:val="bottom"/>
            <w:hideMark/>
          </w:tcPr>
          <w:p w14:paraId="2B4944E6" w14:textId="77777777" w:rsidR="001C0DBF" w:rsidRPr="001C0DBF" w:rsidRDefault="001C0DBF" w:rsidP="00DA2973">
            <w:pPr>
              <w:jc w:val="center"/>
              <w:rPr>
                <w:sz w:val="20"/>
                <w:szCs w:val="20"/>
              </w:rPr>
            </w:pPr>
            <w:r w:rsidRPr="001C0DBF">
              <w:rPr>
                <w:color w:val="000000"/>
                <w:sz w:val="20"/>
                <w:szCs w:val="20"/>
              </w:rPr>
              <w:t>0.06</w:t>
            </w:r>
          </w:p>
        </w:tc>
        <w:tc>
          <w:tcPr>
            <w:tcW w:w="945" w:type="dxa"/>
            <w:tcBorders>
              <w:top w:val="single" w:sz="4" w:space="0" w:color="auto"/>
              <w:left w:val="single" w:sz="4" w:space="0" w:color="auto"/>
              <w:bottom w:val="single" w:sz="4" w:space="0" w:color="auto"/>
              <w:right w:val="single" w:sz="4" w:space="0" w:color="auto"/>
            </w:tcBorders>
            <w:shd w:val="clear" w:color="auto" w:fill="B1D47F"/>
            <w:tcMar>
              <w:top w:w="15" w:type="dxa"/>
              <w:left w:w="15" w:type="dxa"/>
              <w:bottom w:w="150" w:type="dxa"/>
              <w:right w:w="15" w:type="dxa"/>
            </w:tcMar>
            <w:vAlign w:val="bottom"/>
            <w:hideMark/>
          </w:tcPr>
          <w:p w14:paraId="34E4FDC1" w14:textId="77777777" w:rsidR="001C0DBF" w:rsidRPr="001C0DBF" w:rsidRDefault="001C0DBF" w:rsidP="00DA2973">
            <w:pPr>
              <w:jc w:val="center"/>
              <w:rPr>
                <w:sz w:val="20"/>
                <w:szCs w:val="20"/>
              </w:rPr>
            </w:pPr>
            <w:r w:rsidRPr="001C0DBF">
              <w:rPr>
                <w:color w:val="000000"/>
                <w:sz w:val="20"/>
                <w:szCs w:val="20"/>
              </w:rPr>
              <w:t>0.03</w:t>
            </w:r>
          </w:p>
        </w:tc>
        <w:tc>
          <w:tcPr>
            <w:tcW w:w="945" w:type="dxa"/>
            <w:tcBorders>
              <w:top w:val="single" w:sz="4" w:space="0" w:color="auto"/>
              <w:left w:val="single" w:sz="4" w:space="0" w:color="auto"/>
              <w:bottom w:val="single" w:sz="4" w:space="0" w:color="auto"/>
              <w:right w:val="single" w:sz="4" w:space="0" w:color="auto"/>
            </w:tcBorders>
            <w:shd w:val="clear" w:color="auto" w:fill="CBDC81"/>
            <w:tcMar>
              <w:top w:w="15" w:type="dxa"/>
              <w:left w:w="15" w:type="dxa"/>
              <w:bottom w:w="150" w:type="dxa"/>
              <w:right w:w="15" w:type="dxa"/>
            </w:tcMar>
            <w:vAlign w:val="bottom"/>
            <w:hideMark/>
          </w:tcPr>
          <w:p w14:paraId="4FE7928E" w14:textId="77777777" w:rsidR="001C0DBF" w:rsidRPr="001C0DBF" w:rsidRDefault="001C0DBF" w:rsidP="00DA2973">
            <w:pPr>
              <w:jc w:val="center"/>
              <w:rPr>
                <w:sz w:val="20"/>
                <w:szCs w:val="20"/>
              </w:rPr>
            </w:pPr>
            <w:r w:rsidRPr="001C0DBF">
              <w:rPr>
                <w:color w:val="000000"/>
                <w:sz w:val="20"/>
                <w:szCs w:val="20"/>
              </w:rPr>
              <w:t>0.04</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01EE2955"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FDB81"/>
            <w:tcMar>
              <w:top w:w="15" w:type="dxa"/>
              <w:left w:w="15" w:type="dxa"/>
              <w:bottom w:w="150" w:type="dxa"/>
              <w:right w:w="15" w:type="dxa"/>
            </w:tcMar>
            <w:vAlign w:val="bottom"/>
            <w:hideMark/>
          </w:tcPr>
          <w:p w14:paraId="28B449E4" w14:textId="77777777" w:rsidR="001C0DBF" w:rsidRPr="001C0DBF" w:rsidRDefault="001C0DBF" w:rsidP="00DA2973">
            <w:pPr>
              <w:jc w:val="center"/>
              <w:rPr>
                <w:sz w:val="20"/>
                <w:szCs w:val="20"/>
              </w:rPr>
            </w:pPr>
            <w:r w:rsidRPr="001C0DBF">
              <w:rPr>
                <w:color w:val="000000"/>
                <w:sz w:val="20"/>
                <w:szCs w:val="20"/>
              </w:rPr>
              <w:t>0.09</w:t>
            </w:r>
          </w:p>
        </w:tc>
        <w:tc>
          <w:tcPr>
            <w:tcW w:w="946" w:type="dxa"/>
            <w:tcBorders>
              <w:top w:val="single" w:sz="4" w:space="0" w:color="auto"/>
              <w:left w:val="single" w:sz="4" w:space="0" w:color="auto"/>
              <w:bottom w:val="single" w:sz="4" w:space="0" w:color="auto"/>
            </w:tcBorders>
            <w:shd w:val="clear" w:color="auto" w:fill="B1D47F"/>
            <w:tcMar>
              <w:top w:w="15" w:type="dxa"/>
              <w:left w:w="15" w:type="dxa"/>
              <w:bottom w:w="150" w:type="dxa"/>
              <w:right w:w="15" w:type="dxa"/>
            </w:tcMar>
            <w:vAlign w:val="bottom"/>
            <w:hideMark/>
          </w:tcPr>
          <w:p w14:paraId="27838985" w14:textId="77777777" w:rsidR="001C0DBF" w:rsidRPr="001C0DBF" w:rsidRDefault="001C0DBF" w:rsidP="00DA2973">
            <w:pPr>
              <w:jc w:val="center"/>
              <w:rPr>
                <w:sz w:val="20"/>
                <w:szCs w:val="20"/>
              </w:rPr>
            </w:pPr>
            <w:r w:rsidRPr="001C0DBF">
              <w:rPr>
                <w:color w:val="000000"/>
                <w:sz w:val="20"/>
                <w:szCs w:val="20"/>
              </w:rPr>
              <w:t>0.03</w:t>
            </w:r>
          </w:p>
        </w:tc>
      </w:tr>
      <w:tr w:rsidR="001C0DBF" w:rsidRPr="001C0DBF" w14:paraId="3020B080"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2D3987A7" w14:textId="77777777" w:rsidR="001C0DBF" w:rsidRPr="001C0DBF" w:rsidRDefault="001C0DBF" w:rsidP="00DA2973">
            <w:pPr>
              <w:jc w:val="center"/>
              <w:rPr>
                <w:sz w:val="20"/>
                <w:szCs w:val="20"/>
              </w:rPr>
            </w:pPr>
            <w:r>
              <w:rPr>
                <w:color w:val="000000"/>
                <w:sz w:val="20"/>
                <w:szCs w:val="20"/>
              </w:rPr>
              <w:t>Full IPM</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1315E01F" w14:textId="77777777" w:rsidR="001C0DBF" w:rsidRPr="001C0DBF" w:rsidRDefault="001C0DBF" w:rsidP="00DA2973">
            <w:pPr>
              <w:jc w:val="center"/>
              <w:rPr>
                <w:sz w:val="20"/>
                <w:szCs w:val="20"/>
              </w:rPr>
            </w:pPr>
            <w:r w:rsidRPr="001C0DBF">
              <w:rPr>
                <w:color w:val="000000"/>
                <w:sz w:val="20"/>
                <w:szCs w:val="20"/>
              </w:rPr>
              <w:t>3</w:t>
            </w:r>
          </w:p>
        </w:tc>
        <w:tc>
          <w:tcPr>
            <w:tcW w:w="945" w:type="dxa"/>
            <w:tcBorders>
              <w:top w:val="single" w:sz="4" w:space="0" w:color="auto"/>
              <w:left w:val="single" w:sz="4" w:space="0" w:color="auto"/>
              <w:bottom w:val="single" w:sz="4" w:space="0" w:color="auto"/>
              <w:right w:val="single" w:sz="4" w:space="0" w:color="auto"/>
            </w:tcBorders>
            <w:shd w:val="clear" w:color="auto" w:fill="FED680"/>
            <w:tcMar>
              <w:top w:w="15" w:type="dxa"/>
              <w:left w:w="15" w:type="dxa"/>
              <w:bottom w:w="150" w:type="dxa"/>
              <w:right w:w="15" w:type="dxa"/>
            </w:tcMar>
            <w:vAlign w:val="bottom"/>
            <w:hideMark/>
          </w:tcPr>
          <w:p w14:paraId="4943BF8E" w14:textId="77777777" w:rsidR="001C0DBF" w:rsidRPr="001C0DBF" w:rsidRDefault="001C0DBF" w:rsidP="00DA2973">
            <w:pPr>
              <w:jc w:val="center"/>
              <w:rPr>
                <w:sz w:val="20"/>
                <w:szCs w:val="20"/>
              </w:rPr>
            </w:pPr>
            <w:r w:rsidRPr="001C0DBF">
              <w:rPr>
                <w:color w:val="000000"/>
                <w:sz w:val="20"/>
                <w:szCs w:val="20"/>
              </w:rPr>
              <w:t>0.1</w:t>
            </w:r>
          </w:p>
        </w:tc>
        <w:tc>
          <w:tcPr>
            <w:tcW w:w="945" w:type="dxa"/>
            <w:tcBorders>
              <w:top w:val="single" w:sz="4" w:space="0" w:color="auto"/>
              <w:left w:val="single" w:sz="4" w:space="0" w:color="auto"/>
              <w:bottom w:val="single" w:sz="4" w:space="0" w:color="auto"/>
              <w:right w:val="single" w:sz="4" w:space="0" w:color="auto"/>
            </w:tcBorders>
            <w:shd w:val="clear" w:color="auto" w:fill="E5E382"/>
            <w:tcMar>
              <w:top w:w="15" w:type="dxa"/>
              <w:left w:w="15" w:type="dxa"/>
              <w:bottom w:w="150" w:type="dxa"/>
              <w:right w:w="15" w:type="dxa"/>
            </w:tcMar>
            <w:vAlign w:val="bottom"/>
            <w:hideMark/>
          </w:tcPr>
          <w:p w14:paraId="47189090" w14:textId="77777777" w:rsidR="001C0DBF" w:rsidRPr="001C0DBF" w:rsidRDefault="001C0DBF" w:rsidP="00DA2973">
            <w:pPr>
              <w:jc w:val="center"/>
              <w:rPr>
                <w:sz w:val="20"/>
                <w:szCs w:val="20"/>
              </w:rPr>
            </w:pPr>
            <w:r w:rsidRPr="001C0DBF">
              <w:rPr>
                <w:color w:val="000000"/>
                <w:sz w:val="20"/>
                <w:szCs w:val="20"/>
              </w:rPr>
              <w:t>0.05</w:t>
            </w:r>
          </w:p>
        </w:tc>
        <w:tc>
          <w:tcPr>
            <w:tcW w:w="945" w:type="dxa"/>
            <w:tcBorders>
              <w:top w:val="single" w:sz="4" w:space="0" w:color="auto"/>
              <w:left w:val="single" w:sz="4" w:space="0" w:color="auto"/>
              <w:bottom w:val="single" w:sz="4" w:space="0" w:color="auto"/>
              <w:right w:val="single" w:sz="4" w:space="0" w:color="auto"/>
            </w:tcBorders>
            <w:shd w:val="clear" w:color="auto" w:fill="CBDC81"/>
            <w:tcMar>
              <w:top w:w="15" w:type="dxa"/>
              <w:left w:w="15" w:type="dxa"/>
              <w:bottom w:w="150" w:type="dxa"/>
              <w:right w:w="15" w:type="dxa"/>
            </w:tcMar>
            <w:vAlign w:val="bottom"/>
            <w:hideMark/>
          </w:tcPr>
          <w:p w14:paraId="146EC652" w14:textId="77777777" w:rsidR="001C0DBF" w:rsidRPr="001C0DBF" w:rsidRDefault="001C0DBF" w:rsidP="00DA2973">
            <w:pPr>
              <w:jc w:val="center"/>
              <w:rPr>
                <w:sz w:val="20"/>
                <w:szCs w:val="20"/>
              </w:rPr>
            </w:pPr>
            <w:r w:rsidRPr="001C0DBF">
              <w:rPr>
                <w:color w:val="000000"/>
                <w:sz w:val="20"/>
                <w:szCs w:val="20"/>
              </w:rPr>
              <w:t>0.04</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78BB01BD"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CB079"/>
            <w:tcMar>
              <w:top w:w="15" w:type="dxa"/>
              <w:left w:w="15" w:type="dxa"/>
              <w:bottom w:w="150" w:type="dxa"/>
              <w:right w:w="15" w:type="dxa"/>
            </w:tcMar>
            <w:vAlign w:val="bottom"/>
            <w:hideMark/>
          </w:tcPr>
          <w:p w14:paraId="393EBA94" w14:textId="77777777" w:rsidR="001C0DBF" w:rsidRPr="001C0DBF" w:rsidRDefault="001C0DBF" w:rsidP="00DA2973">
            <w:pPr>
              <w:jc w:val="center"/>
              <w:rPr>
                <w:sz w:val="20"/>
                <w:szCs w:val="20"/>
              </w:rPr>
            </w:pPr>
            <w:r w:rsidRPr="001C0DBF">
              <w:rPr>
                <w:color w:val="000000"/>
                <w:sz w:val="20"/>
                <w:szCs w:val="20"/>
              </w:rPr>
              <w:t>0.17</w:t>
            </w:r>
          </w:p>
        </w:tc>
        <w:tc>
          <w:tcPr>
            <w:tcW w:w="946" w:type="dxa"/>
            <w:tcBorders>
              <w:top w:val="single" w:sz="4" w:space="0" w:color="auto"/>
              <w:left w:val="single" w:sz="4" w:space="0" w:color="auto"/>
              <w:bottom w:val="single" w:sz="4" w:space="0" w:color="auto"/>
            </w:tcBorders>
            <w:shd w:val="clear" w:color="auto" w:fill="FFEB84"/>
            <w:tcMar>
              <w:top w:w="15" w:type="dxa"/>
              <w:left w:w="15" w:type="dxa"/>
              <w:bottom w:w="150" w:type="dxa"/>
              <w:right w:w="15" w:type="dxa"/>
            </w:tcMar>
            <w:vAlign w:val="bottom"/>
            <w:hideMark/>
          </w:tcPr>
          <w:p w14:paraId="3688909D" w14:textId="77777777" w:rsidR="001C0DBF" w:rsidRPr="001C0DBF" w:rsidRDefault="001C0DBF" w:rsidP="00DA2973">
            <w:pPr>
              <w:jc w:val="center"/>
              <w:rPr>
                <w:sz w:val="20"/>
                <w:szCs w:val="20"/>
              </w:rPr>
            </w:pPr>
            <w:r w:rsidRPr="001C0DBF">
              <w:rPr>
                <w:color w:val="000000"/>
                <w:sz w:val="20"/>
                <w:szCs w:val="20"/>
              </w:rPr>
              <w:t>0.06</w:t>
            </w:r>
          </w:p>
        </w:tc>
      </w:tr>
      <w:tr w:rsidR="001C0DBF" w:rsidRPr="001C0DBF" w14:paraId="546D96FC"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711FF3B1" w14:textId="77777777" w:rsidR="001C0DBF" w:rsidRPr="001C0DBF" w:rsidRDefault="001C0DBF" w:rsidP="00DA2973">
            <w:pPr>
              <w:jc w:val="center"/>
              <w:rPr>
                <w:sz w:val="20"/>
                <w:szCs w:val="20"/>
              </w:rPr>
            </w:pPr>
            <w:r>
              <w:rPr>
                <w:color w:val="000000"/>
                <w:sz w:val="20"/>
                <w:szCs w:val="20"/>
              </w:rPr>
              <w:t>Full IPM</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71D4BB4B" w14:textId="77777777" w:rsidR="001C0DBF" w:rsidRPr="001C0DBF" w:rsidRDefault="001C0DBF" w:rsidP="00DA2973">
            <w:pPr>
              <w:jc w:val="center"/>
              <w:rPr>
                <w:sz w:val="20"/>
                <w:szCs w:val="20"/>
              </w:rPr>
            </w:pPr>
            <w:r w:rsidRPr="001C0DBF">
              <w:rPr>
                <w:color w:val="000000"/>
                <w:sz w:val="20"/>
                <w:szCs w:val="20"/>
              </w:rPr>
              <w:t>4</w:t>
            </w:r>
          </w:p>
        </w:tc>
        <w:tc>
          <w:tcPr>
            <w:tcW w:w="945" w:type="dxa"/>
            <w:tcBorders>
              <w:top w:val="single" w:sz="4" w:space="0" w:color="auto"/>
              <w:left w:val="single" w:sz="4" w:space="0" w:color="auto"/>
              <w:bottom w:val="single" w:sz="4" w:space="0" w:color="auto"/>
              <w:right w:val="single" w:sz="4" w:space="0" w:color="auto"/>
            </w:tcBorders>
            <w:shd w:val="clear" w:color="auto" w:fill="FFDB81"/>
            <w:tcMar>
              <w:top w:w="15" w:type="dxa"/>
              <w:left w:w="15" w:type="dxa"/>
              <w:bottom w:w="150" w:type="dxa"/>
              <w:right w:w="15" w:type="dxa"/>
            </w:tcMar>
            <w:vAlign w:val="bottom"/>
            <w:hideMark/>
          </w:tcPr>
          <w:p w14:paraId="09221EF7" w14:textId="77777777" w:rsidR="001C0DBF" w:rsidRPr="001C0DBF" w:rsidRDefault="001C0DBF" w:rsidP="00DA2973">
            <w:pPr>
              <w:jc w:val="center"/>
              <w:rPr>
                <w:sz w:val="20"/>
                <w:szCs w:val="20"/>
              </w:rPr>
            </w:pPr>
            <w:r w:rsidRPr="001C0DBF">
              <w:rPr>
                <w:color w:val="000000"/>
                <w:sz w:val="20"/>
                <w:szCs w:val="20"/>
              </w:rPr>
              <w:t>0.09</w:t>
            </w:r>
          </w:p>
        </w:tc>
        <w:tc>
          <w:tcPr>
            <w:tcW w:w="945" w:type="dxa"/>
            <w:tcBorders>
              <w:top w:val="single" w:sz="4" w:space="0" w:color="auto"/>
              <w:left w:val="single" w:sz="4" w:space="0" w:color="auto"/>
              <w:bottom w:val="single" w:sz="4" w:space="0" w:color="auto"/>
              <w:right w:val="single" w:sz="4" w:space="0" w:color="auto"/>
            </w:tcBorders>
            <w:shd w:val="clear" w:color="auto" w:fill="E5E382"/>
            <w:tcMar>
              <w:top w:w="15" w:type="dxa"/>
              <w:left w:w="15" w:type="dxa"/>
              <w:bottom w:w="150" w:type="dxa"/>
              <w:right w:w="15" w:type="dxa"/>
            </w:tcMar>
            <w:vAlign w:val="bottom"/>
            <w:hideMark/>
          </w:tcPr>
          <w:p w14:paraId="7D0AA0CD" w14:textId="77777777" w:rsidR="001C0DBF" w:rsidRPr="001C0DBF" w:rsidRDefault="001C0DBF" w:rsidP="00DA2973">
            <w:pPr>
              <w:jc w:val="center"/>
              <w:rPr>
                <w:sz w:val="20"/>
                <w:szCs w:val="20"/>
              </w:rPr>
            </w:pPr>
            <w:r w:rsidRPr="001C0DBF">
              <w:rPr>
                <w:color w:val="000000"/>
                <w:sz w:val="20"/>
                <w:szCs w:val="20"/>
              </w:rPr>
              <w:t>0.05</w:t>
            </w:r>
          </w:p>
        </w:tc>
        <w:tc>
          <w:tcPr>
            <w:tcW w:w="945" w:type="dxa"/>
            <w:tcBorders>
              <w:top w:val="single" w:sz="4" w:space="0" w:color="auto"/>
              <w:left w:val="single" w:sz="4" w:space="0" w:color="auto"/>
              <w:bottom w:val="single" w:sz="4" w:space="0" w:color="auto"/>
              <w:right w:val="single" w:sz="4" w:space="0" w:color="auto"/>
            </w:tcBorders>
            <w:shd w:val="clear" w:color="auto" w:fill="B1D47F"/>
            <w:tcMar>
              <w:top w:w="15" w:type="dxa"/>
              <w:left w:w="15" w:type="dxa"/>
              <w:bottom w:w="150" w:type="dxa"/>
              <w:right w:w="15" w:type="dxa"/>
            </w:tcMar>
            <w:vAlign w:val="bottom"/>
            <w:hideMark/>
          </w:tcPr>
          <w:p w14:paraId="1BC7C5B8" w14:textId="77777777" w:rsidR="001C0DBF" w:rsidRPr="001C0DBF" w:rsidRDefault="001C0DBF" w:rsidP="00DA2973">
            <w:pPr>
              <w:jc w:val="center"/>
              <w:rPr>
                <w:sz w:val="20"/>
                <w:szCs w:val="20"/>
              </w:rPr>
            </w:pPr>
            <w:r w:rsidRPr="001C0DBF">
              <w:rPr>
                <w:color w:val="000000"/>
                <w:sz w:val="20"/>
                <w:szCs w:val="20"/>
              </w:rPr>
              <w:t>0.03</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59F8F763"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CA577"/>
            <w:tcMar>
              <w:top w:w="15" w:type="dxa"/>
              <w:left w:w="15" w:type="dxa"/>
              <w:bottom w:w="150" w:type="dxa"/>
              <w:right w:w="15" w:type="dxa"/>
            </w:tcMar>
            <w:vAlign w:val="bottom"/>
            <w:hideMark/>
          </w:tcPr>
          <w:p w14:paraId="3F377F1C" w14:textId="77777777" w:rsidR="001C0DBF" w:rsidRPr="001C0DBF" w:rsidRDefault="001C0DBF" w:rsidP="00DA2973">
            <w:pPr>
              <w:jc w:val="center"/>
              <w:rPr>
                <w:sz w:val="20"/>
                <w:szCs w:val="20"/>
              </w:rPr>
            </w:pPr>
            <w:r w:rsidRPr="001C0DBF">
              <w:rPr>
                <w:color w:val="000000"/>
                <w:sz w:val="20"/>
                <w:szCs w:val="20"/>
              </w:rPr>
              <w:t>0.19</w:t>
            </w:r>
          </w:p>
        </w:tc>
        <w:tc>
          <w:tcPr>
            <w:tcW w:w="946" w:type="dxa"/>
            <w:tcBorders>
              <w:top w:val="single" w:sz="4" w:space="0" w:color="auto"/>
              <w:left w:val="single" w:sz="4" w:space="0" w:color="auto"/>
              <w:bottom w:val="single" w:sz="4" w:space="0" w:color="auto"/>
            </w:tcBorders>
            <w:shd w:val="clear" w:color="auto" w:fill="FFEB84"/>
            <w:tcMar>
              <w:top w:w="15" w:type="dxa"/>
              <w:left w:w="15" w:type="dxa"/>
              <w:bottom w:w="150" w:type="dxa"/>
              <w:right w:w="15" w:type="dxa"/>
            </w:tcMar>
            <w:vAlign w:val="bottom"/>
            <w:hideMark/>
          </w:tcPr>
          <w:p w14:paraId="4F142F76" w14:textId="77777777" w:rsidR="001C0DBF" w:rsidRPr="001C0DBF" w:rsidRDefault="001C0DBF" w:rsidP="00DA2973">
            <w:pPr>
              <w:jc w:val="center"/>
              <w:rPr>
                <w:sz w:val="20"/>
                <w:szCs w:val="20"/>
              </w:rPr>
            </w:pPr>
            <w:r w:rsidRPr="001C0DBF">
              <w:rPr>
                <w:color w:val="000000"/>
                <w:sz w:val="20"/>
                <w:szCs w:val="20"/>
              </w:rPr>
              <w:t>0.06</w:t>
            </w:r>
          </w:p>
        </w:tc>
      </w:tr>
      <w:tr w:rsidR="001C0DBF" w:rsidRPr="001C0DBF" w14:paraId="4B135609"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0B462894" w14:textId="77777777" w:rsidR="001C0DBF" w:rsidRPr="001C0DBF" w:rsidRDefault="001C0DBF" w:rsidP="00DA2973">
            <w:pPr>
              <w:jc w:val="center"/>
              <w:rPr>
                <w:sz w:val="20"/>
                <w:szCs w:val="20"/>
              </w:rPr>
            </w:pPr>
            <w:r>
              <w:rPr>
                <w:color w:val="000000"/>
                <w:sz w:val="20"/>
                <w:szCs w:val="20"/>
              </w:rPr>
              <w:t>Full IPM</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1D8F5FE1" w14:textId="77777777" w:rsidR="001C0DBF" w:rsidRPr="001C0DBF" w:rsidRDefault="001C0DBF" w:rsidP="00DA2973">
            <w:pPr>
              <w:jc w:val="center"/>
              <w:rPr>
                <w:sz w:val="20"/>
                <w:szCs w:val="20"/>
              </w:rPr>
            </w:pPr>
            <w:r w:rsidRPr="001C0DBF">
              <w:rPr>
                <w:color w:val="000000"/>
                <w:sz w:val="20"/>
                <w:szCs w:val="20"/>
              </w:rPr>
              <w:t>5</w:t>
            </w:r>
          </w:p>
        </w:tc>
        <w:tc>
          <w:tcPr>
            <w:tcW w:w="945" w:type="dxa"/>
            <w:tcBorders>
              <w:top w:val="single" w:sz="4" w:space="0" w:color="auto"/>
              <w:left w:val="single" w:sz="4" w:space="0" w:color="auto"/>
              <w:bottom w:val="single" w:sz="4" w:space="0" w:color="auto"/>
              <w:right w:val="single" w:sz="4" w:space="0" w:color="auto"/>
            </w:tcBorders>
            <w:shd w:val="clear" w:color="auto" w:fill="FFE182"/>
            <w:tcMar>
              <w:top w:w="15" w:type="dxa"/>
              <w:left w:w="15" w:type="dxa"/>
              <w:bottom w:w="150" w:type="dxa"/>
              <w:right w:w="15" w:type="dxa"/>
            </w:tcMar>
            <w:vAlign w:val="bottom"/>
            <w:hideMark/>
          </w:tcPr>
          <w:p w14:paraId="205DF15D" w14:textId="77777777" w:rsidR="001C0DBF" w:rsidRPr="001C0DBF" w:rsidRDefault="001C0DBF" w:rsidP="00DA2973">
            <w:pPr>
              <w:jc w:val="center"/>
              <w:rPr>
                <w:sz w:val="20"/>
                <w:szCs w:val="20"/>
              </w:rPr>
            </w:pPr>
            <w:r w:rsidRPr="001C0DBF">
              <w:rPr>
                <w:color w:val="000000"/>
                <w:sz w:val="20"/>
                <w:szCs w:val="20"/>
              </w:rPr>
              <w:t>0.08</w:t>
            </w:r>
          </w:p>
        </w:tc>
        <w:tc>
          <w:tcPr>
            <w:tcW w:w="945" w:type="dxa"/>
            <w:tcBorders>
              <w:top w:val="single" w:sz="4" w:space="0" w:color="auto"/>
              <w:left w:val="single" w:sz="4" w:space="0" w:color="auto"/>
              <w:bottom w:val="single" w:sz="4" w:space="0" w:color="auto"/>
              <w:right w:val="single" w:sz="4" w:space="0" w:color="auto"/>
            </w:tcBorders>
            <w:shd w:val="clear" w:color="auto" w:fill="CBDC81"/>
            <w:tcMar>
              <w:top w:w="15" w:type="dxa"/>
              <w:left w:w="15" w:type="dxa"/>
              <w:bottom w:w="150" w:type="dxa"/>
              <w:right w:w="15" w:type="dxa"/>
            </w:tcMar>
            <w:vAlign w:val="bottom"/>
            <w:hideMark/>
          </w:tcPr>
          <w:p w14:paraId="4F014038" w14:textId="77777777" w:rsidR="001C0DBF" w:rsidRPr="001C0DBF" w:rsidRDefault="001C0DBF" w:rsidP="00DA2973">
            <w:pPr>
              <w:jc w:val="center"/>
              <w:rPr>
                <w:sz w:val="20"/>
                <w:szCs w:val="20"/>
              </w:rPr>
            </w:pPr>
            <w:r w:rsidRPr="001C0DBF">
              <w:rPr>
                <w:color w:val="000000"/>
                <w:sz w:val="20"/>
                <w:szCs w:val="20"/>
              </w:rPr>
              <w:t>0.04</w:t>
            </w:r>
          </w:p>
        </w:tc>
        <w:tc>
          <w:tcPr>
            <w:tcW w:w="945" w:type="dxa"/>
            <w:tcBorders>
              <w:top w:val="single" w:sz="4" w:space="0" w:color="auto"/>
              <w:left w:val="single" w:sz="4" w:space="0" w:color="auto"/>
              <w:bottom w:val="single" w:sz="4" w:space="0" w:color="auto"/>
              <w:right w:val="single" w:sz="4" w:space="0" w:color="auto"/>
            </w:tcBorders>
            <w:shd w:val="clear" w:color="auto" w:fill="CBDC81"/>
            <w:tcMar>
              <w:top w:w="15" w:type="dxa"/>
              <w:left w:w="15" w:type="dxa"/>
              <w:bottom w:w="150" w:type="dxa"/>
              <w:right w:w="15" w:type="dxa"/>
            </w:tcMar>
            <w:vAlign w:val="bottom"/>
            <w:hideMark/>
          </w:tcPr>
          <w:p w14:paraId="7E099076" w14:textId="77777777" w:rsidR="001C0DBF" w:rsidRPr="001C0DBF" w:rsidRDefault="001C0DBF" w:rsidP="00DA2973">
            <w:pPr>
              <w:jc w:val="center"/>
              <w:rPr>
                <w:sz w:val="20"/>
                <w:szCs w:val="20"/>
              </w:rPr>
            </w:pPr>
            <w:r w:rsidRPr="001C0DBF">
              <w:rPr>
                <w:color w:val="000000"/>
                <w:sz w:val="20"/>
                <w:szCs w:val="20"/>
              </w:rPr>
              <w:t>0.04</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4FF80331"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97A6F"/>
            <w:tcMar>
              <w:top w:w="15" w:type="dxa"/>
              <w:left w:w="15" w:type="dxa"/>
              <w:bottom w:w="150" w:type="dxa"/>
              <w:right w:w="15" w:type="dxa"/>
            </w:tcMar>
            <w:vAlign w:val="bottom"/>
            <w:hideMark/>
          </w:tcPr>
          <w:p w14:paraId="789F403F" w14:textId="77777777" w:rsidR="001C0DBF" w:rsidRPr="001C0DBF" w:rsidRDefault="001C0DBF" w:rsidP="00DA2973">
            <w:pPr>
              <w:jc w:val="center"/>
              <w:rPr>
                <w:sz w:val="20"/>
                <w:szCs w:val="20"/>
              </w:rPr>
            </w:pPr>
            <w:r w:rsidRPr="001C0DBF">
              <w:rPr>
                <w:color w:val="000000"/>
                <w:sz w:val="20"/>
                <w:szCs w:val="20"/>
              </w:rPr>
              <w:t>0.27</w:t>
            </w:r>
          </w:p>
        </w:tc>
        <w:tc>
          <w:tcPr>
            <w:tcW w:w="946" w:type="dxa"/>
            <w:tcBorders>
              <w:top w:val="single" w:sz="4" w:space="0" w:color="auto"/>
              <w:left w:val="single" w:sz="4" w:space="0" w:color="auto"/>
              <w:bottom w:val="single" w:sz="4" w:space="0" w:color="auto"/>
            </w:tcBorders>
            <w:shd w:val="clear" w:color="auto" w:fill="E5E382"/>
            <w:tcMar>
              <w:top w:w="15" w:type="dxa"/>
              <w:left w:w="15" w:type="dxa"/>
              <w:bottom w:w="150" w:type="dxa"/>
              <w:right w:w="15" w:type="dxa"/>
            </w:tcMar>
            <w:vAlign w:val="bottom"/>
            <w:hideMark/>
          </w:tcPr>
          <w:p w14:paraId="10709BBD" w14:textId="77777777" w:rsidR="001C0DBF" w:rsidRPr="001C0DBF" w:rsidRDefault="001C0DBF" w:rsidP="00DA2973">
            <w:pPr>
              <w:jc w:val="center"/>
              <w:rPr>
                <w:sz w:val="20"/>
                <w:szCs w:val="20"/>
              </w:rPr>
            </w:pPr>
            <w:r w:rsidRPr="001C0DBF">
              <w:rPr>
                <w:color w:val="000000"/>
                <w:sz w:val="20"/>
                <w:szCs w:val="20"/>
              </w:rPr>
              <w:t>0.05</w:t>
            </w:r>
          </w:p>
        </w:tc>
      </w:tr>
      <w:tr w:rsidR="001C0DBF" w:rsidRPr="001C0DBF" w14:paraId="53C2E4E0"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3FD86FD6" w14:textId="77777777" w:rsidR="001C0DBF" w:rsidRPr="001C0DBF" w:rsidRDefault="001C0DBF" w:rsidP="00DA2973">
            <w:pPr>
              <w:jc w:val="center"/>
              <w:rPr>
                <w:sz w:val="20"/>
                <w:szCs w:val="20"/>
              </w:rPr>
            </w:pPr>
            <w:r w:rsidRPr="001C0DBF">
              <w:rPr>
                <w:color w:val="000000"/>
                <w:sz w:val="20"/>
                <w:szCs w:val="20"/>
              </w:rPr>
              <w:t>Counts + Productivity</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6D47330A" w14:textId="77777777" w:rsidR="001C0DBF" w:rsidRPr="001C0DBF" w:rsidRDefault="001C0DBF" w:rsidP="00DA2973">
            <w:pPr>
              <w:jc w:val="center"/>
              <w:rPr>
                <w:sz w:val="20"/>
                <w:szCs w:val="20"/>
              </w:rPr>
            </w:pPr>
            <w:r w:rsidRPr="001C0DBF">
              <w:rPr>
                <w:color w:val="000000"/>
                <w:sz w:val="20"/>
                <w:szCs w:val="20"/>
              </w:rPr>
              <w:t>6</w:t>
            </w:r>
          </w:p>
        </w:tc>
        <w:tc>
          <w:tcPr>
            <w:tcW w:w="945" w:type="dxa"/>
            <w:tcBorders>
              <w:top w:val="single" w:sz="4" w:space="0" w:color="auto"/>
              <w:left w:val="single" w:sz="4" w:space="0" w:color="auto"/>
              <w:bottom w:val="single" w:sz="4" w:space="0" w:color="auto"/>
              <w:right w:val="single" w:sz="4" w:space="0" w:color="auto"/>
            </w:tcBorders>
            <w:shd w:val="clear" w:color="auto" w:fill="FBA076"/>
            <w:tcMar>
              <w:top w:w="15" w:type="dxa"/>
              <w:left w:w="15" w:type="dxa"/>
              <w:bottom w:w="150" w:type="dxa"/>
              <w:right w:w="15" w:type="dxa"/>
            </w:tcMar>
            <w:vAlign w:val="bottom"/>
            <w:hideMark/>
          </w:tcPr>
          <w:p w14:paraId="5F7DFFB7" w14:textId="77777777" w:rsidR="001C0DBF" w:rsidRPr="001C0DBF" w:rsidRDefault="001C0DBF" w:rsidP="00DA2973">
            <w:pPr>
              <w:jc w:val="center"/>
              <w:rPr>
                <w:sz w:val="20"/>
                <w:szCs w:val="20"/>
              </w:rPr>
            </w:pPr>
            <w:r w:rsidRPr="001C0DBF">
              <w:rPr>
                <w:color w:val="000000"/>
                <w:sz w:val="20"/>
                <w:szCs w:val="20"/>
              </w:rPr>
              <w:t>0.2</w:t>
            </w:r>
          </w:p>
        </w:tc>
        <w:tc>
          <w:tcPr>
            <w:tcW w:w="945" w:type="dxa"/>
            <w:tcBorders>
              <w:top w:val="single" w:sz="4" w:space="0" w:color="auto"/>
              <w:left w:val="single" w:sz="4" w:space="0" w:color="auto"/>
              <w:bottom w:val="single" w:sz="4" w:space="0" w:color="auto"/>
              <w:right w:val="single" w:sz="4" w:space="0" w:color="auto"/>
            </w:tcBorders>
            <w:shd w:val="clear" w:color="auto" w:fill="FDC67D"/>
            <w:tcMar>
              <w:top w:w="15" w:type="dxa"/>
              <w:left w:w="15" w:type="dxa"/>
              <w:bottom w:w="150" w:type="dxa"/>
              <w:right w:w="15" w:type="dxa"/>
            </w:tcMar>
            <w:vAlign w:val="bottom"/>
            <w:hideMark/>
          </w:tcPr>
          <w:p w14:paraId="7FC7FDB2" w14:textId="77777777" w:rsidR="001C0DBF" w:rsidRPr="001C0DBF" w:rsidRDefault="001C0DBF" w:rsidP="00DA2973">
            <w:pPr>
              <w:jc w:val="center"/>
              <w:rPr>
                <w:sz w:val="20"/>
                <w:szCs w:val="20"/>
              </w:rPr>
            </w:pPr>
            <w:r w:rsidRPr="001C0DBF">
              <w:rPr>
                <w:color w:val="000000"/>
                <w:sz w:val="20"/>
                <w:szCs w:val="20"/>
              </w:rPr>
              <w:t>0.13</w:t>
            </w:r>
          </w:p>
        </w:tc>
        <w:tc>
          <w:tcPr>
            <w:tcW w:w="945" w:type="dxa"/>
            <w:tcBorders>
              <w:top w:val="single" w:sz="4" w:space="0" w:color="auto"/>
              <w:left w:val="single" w:sz="4" w:space="0" w:color="auto"/>
              <w:bottom w:val="single" w:sz="4" w:space="0" w:color="auto"/>
              <w:right w:val="single" w:sz="4" w:space="0" w:color="auto"/>
            </w:tcBorders>
            <w:shd w:val="clear" w:color="auto" w:fill="CBDC81"/>
            <w:tcMar>
              <w:top w:w="15" w:type="dxa"/>
              <w:left w:w="15" w:type="dxa"/>
              <w:bottom w:w="150" w:type="dxa"/>
              <w:right w:w="15" w:type="dxa"/>
            </w:tcMar>
            <w:vAlign w:val="bottom"/>
            <w:hideMark/>
          </w:tcPr>
          <w:p w14:paraId="365C9D49" w14:textId="77777777" w:rsidR="001C0DBF" w:rsidRPr="001C0DBF" w:rsidRDefault="001C0DBF" w:rsidP="00DA2973">
            <w:pPr>
              <w:jc w:val="center"/>
              <w:rPr>
                <w:sz w:val="20"/>
                <w:szCs w:val="20"/>
              </w:rPr>
            </w:pPr>
            <w:r w:rsidRPr="001C0DBF">
              <w:rPr>
                <w:color w:val="000000"/>
                <w:sz w:val="20"/>
                <w:szCs w:val="20"/>
              </w:rPr>
              <w:t>0.04</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1A0ACAAB"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FE683"/>
            <w:tcMar>
              <w:top w:w="15" w:type="dxa"/>
              <w:left w:w="15" w:type="dxa"/>
              <w:bottom w:w="150" w:type="dxa"/>
              <w:right w:w="15" w:type="dxa"/>
            </w:tcMar>
            <w:vAlign w:val="bottom"/>
            <w:hideMark/>
          </w:tcPr>
          <w:p w14:paraId="2B0DD119" w14:textId="77777777" w:rsidR="001C0DBF" w:rsidRPr="001C0DBF" w:rsidRDefault="001C0DBF" w:rsidP="00DA2973">
            <w:pPr>
              <w:jc w:val="center"/>
              <w:rPr>
                <w:sz w:val="20"/>
                <w:szCs w:val="20"/>
              </w:rPr>
            </w:pPr>
            <w:r w:rsidRPr="001C0DBF">
              <w:rPr>
                <w:color w:val="000000"/>
                <w:sz w:val="20"/>
                <w:szCs w:val="20"/>
              </w:rPr>
              <w:t>0.07</w:t>
            </w:r>
          </w:p>
        </w:tc>
        <w:tc>
          <w:tcPr>
            <w:tcW w:w="946" w:type="dxa"/>
            <w:tcBorders>
              <w:top w:val="single" w:sz="4" w:space="0" w:color="auto"/>
              <w:left w:val="single" w:sz="4" w:space="0" w:color="auto"/>
              <w:bottom w:val="nil"/>
            </w:tcBorders>
            <w:tcMar>
              <w:top w:w="15" w:type="dxa"/>
              <w:left w:w="15" w:type="dxa"/>
              <w:bottom w:w="150" w:type="dxa"/>
              <w:right w:w="15" w:type="dxa"/>
            </w:tcMar>
            <w:vAlign w:val="bottom"/>
            <w:hideMark/>
          </w:tcPr>
          <w:p w14:paraId="4C1B70CA" w14:textId="77777777" w:rsidR="001C0DBF" w:rsidRPr="001C0DBF" w:rsidRDefault="001C0DBF" w:rsidP="00DA2973">
            <w:pPr>
              <w:jc w:val="center"/>
              <w:rPr>
                <w:sz w:val="20"/>
                <w:szCs w:val="20"/>
              </w:rPr>
            </w:pPr>
          </w:p>
        </w:tc>
      </w:tr>
      <w:tr w:rsidR="001C0DBF" w:rsidRPr="001C0DBF" w14:paraId="33C5B136"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76D34A00" w14:textId="77777777" w:rsidR="001C0DBF" w:rsidRPr="001C0DBF" w:rsidRDefault="001C0DBF" w:rsidP="00DA2973">
            <w:pPr>
              <w:jc w:val="center"/>
              <w:rPr>
                <w:sz w:val="20"/>
                <w:szCs w:val="20"/>
              </w:rPr>
            </w:pPr>
            <w:r w:rsidRPr="001C0DBF">
              <w:rPr>
                <w:color w:val="000000"/>
                <w:sz w:val="20"/>
                <w:szCs w:val="20"/>
              </w:rPr>
              <w:t>Counts + Productivity</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22CAE008" w14:textId="77777777" w:rsidR="001C0DBF" w:rsidRPr="001C0DBF" w:rsidRDefault="001C0DBF" w:rsidP="00DA2973">
            <w:pPr>
              <w:jc w:val="center"/>
              <w:rPr>
                <w:sz w:val="20"/>
                <w:szCs w:val="20"/>
              </w:rPr>
            </w:pPr>
            <w:r w:rsidRPr="001C0DBF">
              <w:rPr>
                <w:color w:val="000000"/>
                <w:sz w:val="20"/>
                <w:szCs w:val="20"/>
              </w:rPr>
              <w:t>7</w:t>
            </w:r>
          </w:p>
        </w:tc>
        <w:tc>
          <w:tcPr>
            <w:tcW w:w="945" w:type="dxa"/>
            <w:tcBorders>
              <w:top w:val="single" w:sz="4" w:space="0" w:color="auto"/>
              <w:left w:val="single" w:sz="4" w:space="0" w:color="auto"/>
              <w:bottom w:val="single" w:sz="4" w:space="0" w:color="auto"/>
              <w:right w:val="single" w:sz="4" w:space="0" w:color="auto"/>
            </w:tcBorders>
            <w:shd w:val="clear" w:color="auto" w:fill="FA8A72"/>
            <w:tcMar>
              <w:top w:w="15" w:type="dxa"/>
              <w:left w:w="15" w:type="dxa"/>
              <w:bottom w:w="150" w:type="dxa"/>
              <w:right w:w="15" w:type="dxa"/>
            </w:tcMar>
            <w:vAlign w:val="bottom"/>
            <w:hideMark/>
          </w:tcPr>
          <w:p w14:paraId="5C015A76" w14:textId="77777777" w:rsidR="001C0DBF" w:rsidRPr="001C0DBF" w:rsidRDefault="001C0DBF" w:rsidP="00DA2973">
            <w:pPr>
              <w:jc w:val="center"/>
              <w:rPr>
                <w:sz w:val="20"/>
                <w:szCs w:val="20"/>
              </w:rPr>
            </w:pPr>
            <w:r w:rsidRPr="001C0DBF">
              <w:rPr>
                <w:color w:val="000000"/>
                <w:sz w:val="20"/>
                <w:szCs w:val="20"/>
              </w:rPr>
              <w:t>0.24</w:t>
            </w:r>
          </w:p>
        </w:tc>
        <w:tc>
          <w:tcPr>
            <w:tcW w:w="945" w:type="dxa"/>
            <w:tcBorders>
              <w:top w:val="single" w:sz="4" w:space="0" w:color="auto"/>
              <w:left w:val="single" w:sz="4" w:space="0" w:color="auto"/>
              <w:bottom w:val="single" w:sz="4" w:space="0" w:color="auto"/>
              <w:right w:val="single" w:sz="4" w:space="0" w:color="auto"/>
            </w:tcBorders>
            <w:shd w:val="clear" w:color="auto" w:fill="FDC67D"/>
            <w:tcMar>
              <w:top w:w="15" w:type="dxa"/>
              <w:left w:w="15" w:type="dxa"/>
              <w:bottom w:w="150" w:type="dxa"/>
              <w:right w:w="15" w:type="dxa"/>
            </w:tcMar>
            <w:vAlign w:val="bottom"/>
            <w:hideMark/>
          </w:tcPr>
          <w:p w14:paraId="3AF84C9D" w14:textId="77777777" w:rsidR="001C0DBF" w:rsidRPr="001C0DBF" w:rsidRDefault="001C0DBF" w:rsidP="00DA2973">
            <w:pPr>
              <w:jc w:val="center"/>
              <w:rPr>
                <w:sz w:val="20"/>
                <w:szCs w:val="20"/>
              </w:rPr>
            </w:pPr>
            <w:r w:rsidRPr="001C0DBF">
              <w:rPr>
                <w:color w:val="000000"/>
                <w:sz w:val="20"/>
                <w:szCs w:val="20"/>
              </w:rPr>
              <w:t>0.13</w:t>
            </w:r>
          </w:p>
        </w:tc>
        <w:tc>
          <w:tcPr>
            <w:tcW w:w="945" w:type="dxa"/>
            <w:tcBorders>
              <w:top w:val="single" w:sz="4" w:space="0" w:color="auto"/>
              <w:left w:val="single" w:sz="4" w:space="0" w:color="auto"/>
              <w:bottom w:val="single" w:sz="4" w:space="0" w:color="auto"/>
              <w:right w:val="single" w:sz="4" w:space="0" w:color="auto"/>
            </w:tcBorders>
            <w:shd w:val="clear" w:color="auto" w:fill="B1D47F"/>
            <w:tcMar>
              <w:top w:w="15" w:type="dxa"/>
              <w:left w:w="15" w:type="dxa"/>
              <w:bottom w:w="150" w:type="dxa"/>
              <w:right w:w="15" w:type="dxa"/>
            </w:tcMar>
            <w:vAlign w:val="bottom"/>
            <w:hideMark/>
          </w:tcPr>
          <w:p w14:paraId="62A00484" w14:textId="77777777" w:rsidR="001C0DBF" w:rsidRPr="001C0DBF" w:rsidRDefault="001C0DBF" w:rsidP="00DA2973">
            <w:pPr>
              <w:jc w:val="center"/>
              <w:rPr>
                <w:sz w:val="20"/>
                <w:szCs w:val="20"/>
              </w:rPr>
            </w:pPr>
            <w:r w:rsidRPr="001C0DBF">
              <w:rPr>
                <w:color w:val="000000"/>
                <w:sz w:val="20"/>
                <w:szCs w:val="20"/>
              </w:rPr>
              <w:t>0.03</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2FDA21DB"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FE182"/>
            <w:tcMar>
              <w:top w:w="15" w:type="dxa"/>
              <w:left w:w="15" w:type="dxa"/>
              <w:bottom w:w="150" w:type="dxa"/>
              <w:right w:w="15" w:type="dxa"/>
            </w:tcMar>
            <w:vAlign w:val="bottom"/>
            <w:hideMark/>
          </w:tcPr>
          <w:p w14:paraId="5E51A998" w14:textId="77777777" w:rsidR="001C0DBF" w:rsidRPr="001C0DBF" w:rsidRDefault="001C0DBF" w:rsidP="00DA2973">
            <w:pPr>
              <w:jc w:val="center"/>
              <w:rPr>
                <w:sz w:val="20"/>
                <w:szCs w:val="20"/>
              </w:rPr>
            </w:pPr>
            <w:r w:rsidRPr="001C0DBF">
              <w:rPr>
                <w:color w:val="000000"/>
                <w:sz w:val="20"/>
                <w:szCs w:val="20"/>
              </w:rPr>
              <w:t>0.08</w:t>
            </w:r>
          </w:p>
        </w:tc>
        <w:tc>
          <w:tcPr>
            <w:tcW w:w="946" w:type="dxa"/>
            <w:tcBorders>
              <w:top w:val="nil"/>
              <w:left w:val="single" w:sz="4" w:space="0" w:color="auto"/>
              <w:bottom w:val="nil"/>
            </w:tcBorders>
            <w:tcMar>
              <w:top w:w="15" w:type="dxa"/>
              <w:left w:w="15" w:type="dxa"/>
              <w:bottom w:w="150" w:type="dxa"/>
              <w:right w:w="15" w:type="dxa"/>
            </w:tcMar>
            <w:vAlign w:val="bottom"/>
            <w:hideMark/>
          </w:tcPr>
          <w:p w14:paraId="7DE420A7" w14:textId="77777777" w:rsidR="001C0DBF" w:rsidRPr="001C0DBF" w:rsidRDefault="001C0DBF" w:rsidP="00DA2973">
            <w:pPr>
              <w:jc w:val="center"/>
              <w:rPr>
                <w:sz w:val="20"/>
                <w:szCs w:val="20"/>
              </w:rPr>
            </w:pPr>
          </w:p>
        </w:tc>
      </w:tr>
      <w:tr w:rsidR="001C0DBF" w:rsidRPr="001C0DBF" w14:paraId="44A505B4"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422C38E9" w14:textId="77777777" w:rsidR="001C0DBF" w:rsidRPr="001C0DBF" w:rsidRDefault="001C0DBF" w:rsidP="00DA2973">
            <w:pPr>
              <w:jc w:val="center"/>
              <w:rPr>
                <w:sz w:val="20"/>
                <w:szCs w:val="20"/>
              </w:rPr>
            </w:pPr>
            <w:r w:rsidRPr="001C0DBF">
              <w:rPr>
                <w:color w:val="000000"/>
                <w:sz w:val="20"/>
                <w:szCs w:val="20"/>
              </w:rPr>
              <w:t>Counts + Productivity</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359029BF" w14:textId="77777777" w:rsidR="001C0DBF" w:rsidRPr="001C0DBF" w:rsidRDefault="001C0DBF" w:rsidP="00DA2973">
            <w:pPr>
              <w:jc w:val="center"/>
              <w:rPr>
                <w:sz w:val="20"/>
                <w:szCs w:val="20"/>
              </w:rPr>
            </w:pPr>
            <w:r w:rsidRPr="001C0DBF">
              <w:rPr>
                <w:color w:val="000000"/>
                <w:sz w:val="20"/>
                <w:szCs w:val="20"/>
              </w:rPr>
              <w:t>8</w:t>
            </w:r>
          </w:p>
        </w:tc>
        <w:tc>
          <w:tcPr>
            <w:tcW w:w="945" w:type="dxa"/>
            <w:tcBorders>
              <w:top w:val="single" w:sz="4" w:space="0" w:color="auto"/>
              <w:left w:val="single" w:sz="4" w:space="0" w:color="auto"/>
              <w:bottom w:val="single" w:sz="4" w:space="0" w:color="auto"/>
              <w:right w:val="single" w:sz="4" w:space="0" w:color="auto"/>
            </w:tcBorders>
            <w:shd w:val="clear" w:color="auto" w:fill="FECB7E"/>
            <w:tcMar>
              <w:top w:w="15" w:type="dxa"/>
              <w:left w:w="15" w:type="dxa"/>
              <w:bottom w:w="150" w:type="dxa"/>
              <w:right w:w="15" w:type="dxa"/>
            </w:tcMar>
            <w:vAlign w:val="bottom"/>
            <w:hideMark/>
          </w:tcPr>
          <w:p w14:paraId="769E5BD3" w14:textId="77777777" w:rsidR="001C0DBF" w:rsidRPr="001C0DBF" w:rsidRDefault="001C0DBF" w:rsidP="00DA2973">
            <w:pPr>
              <w:jc w:val="center"/>
              <w:rPr>
                <w:sz w:val="20"/>
                <w:szCs w:val="20"/>
              </w:rPr>
            </w:pPr>
            <w:r w:rsidRPr="001C0DBF">
              <w:rPr>
                <w:color w:val="000000"/>
                <w:sz w:val="20"/>
                <w:szCs w:val="20"/>
              </w:rPr>
              <w:t>0.12</w:t>
            </w:r>
          </w:p>
        </w:tc>
        <w:tc>
          <w:tcPr>
            <w:tcW w:w="945" w:type="dxa"/>
            <w:tcBorders>
              <w:top w:val="single" w:sz="4" w:space="0" w:color="auto"/>
              <w:left w:val="single" w:sz="4" w:space="0" w:color="auto"/>
              <w:bottom w:val="single" w:sz="4" w:space="0" w:color="auto"/>
              <w:right w:val="single" w:sz="4" w:space="0" w:color="auto"/>
            </w:tcBorders>
            <w:shd w:val="clear" w:color="auto" w:fill="FFE182"/>
            <w:tcMar>
              <w:top w:w="15" w:type="dxa"/>
              <w:left w:w="15" w:type="dxa"/>
              <w:bottom w:w="150" w:type="dxa"/>
              <w:right w:w="15" w:type="dxa"/>
            </w:tcMar>
            <w:vAlign w:val="bottom"/>
            <w:hideMark/>
          </w:tcPr>
          <w:p w14:paraId="3435ACE2" w14:textId="77777777" w:rsidR="001C0DBF" w:rsidRPr="001C0DBF" w:rsidRDefault="001C0DBF" w:rsidP="00DA2973">
            <w:pPr>
              <w:jc w:val="center"/>
              <w:rPr>
                <w:sz w:val="20"/>
                <w:szCs w:val="20"/>
              </w:rPr>
            </w:pPr>
            <w:r w:rsidRPr="001C0DBF">
              <w:rPr>
                <w:color w:val="000000"/>
                <w:sz w:val="20"/>
                <w:szCs w:val="20"/>
              </w:rPr>
              <w:t>0.08</w:t>
            </w:r>
          </w:p>
        </w:tc>
        <w:tc>
          <w:tcPr>
            <w:tcW w:w="945" w:type="dxa"/>
            <w:tcBorders>
              <w:top w:val="single" w:sz="4" w:space="0" w:color="auto"/>
              <w:left w:val="single" w:sz="4" w:space="0" w:color="auto"/>
              <w:bottom w:val="single" w:sz="4" w:space="0" w:color="auto"/>
              <w:right w:val="single" w:sz="4" w:space="0" w:color="auto"/>
            </w:tcBorders>
            <w:shd w:val="clear" w:color="auto" w:fill="7DC57C"/>
            <w:tcMar>
              <w:top w:w="15" w:type="dxa"/>
              <w:left w:w="15" w:type="dxa"/>
              <w:bottom w:w="150" w:type="dxa"/>
              <w:right w:w="15" w:type="dxa"/>
            </w:tcMar>
            <w:vAlign w:val="bottom"/>
            <w:hideMark/>
          </w:tcPr>
          <w:p w14:paraId="0A361E11" w14:textId="77777777" w:rsidR="001C0DBF" w:rsidRPr="001C0DBF" w:rsidRDefault="001C0DBF" w:rsidP="00DA2973">
            <w:pPr>
              <w:jc w:val="center"/>
              <w:rPr>
                <w:sz w:val="20"/>
                <w:szCs w:val="20"/>
              </w:rPr>
            </w:pPr>
            <w:r w:rsidRPr="001C0DBF">
              <w:rPr>
                <w:color w:val="000000"/>
                <w:sz w:val="20"/>
                <w:szCs w:val="20"/>
              </w:rPr>
              <w:t>0.01</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592C1BFC"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A8A72"/>
            <w:tcMar>
              <w:top w:w="15" w:type="dxa"/>
              <w:left w:w="15" w:type="dxa"/>
              <w:bottom w:w="150" w:type="dxa"/>
              <w:right w:w="15" w:type="dxa"/>
            </w:tcMar>
            <w:vAlign w:val="bottom"/>
            <w:hideMark/>
          </w:tcPr>
          <w:p w14:paraId="0C3A7A07" w14:textId="77777777" w:rsidR="001C0DBF" w:rsidRPr="001C0DBF" w:rsidRDefault="001C0DBF" w:rsidP="00DA2973">
            <w:pPr>
              <w:jc w:val="center"/>
              <w:rPr>
                <w:sz w:val="20"/>
                <w:szCs w:val="20"/>
              </w:rPr>
            </w:pPr>
            <w:r w:rsidRPr="001C0DBF">
              <w:rPr>
                <w:color w:val="000000"/>
                <w:sz w:val="20"/>
                <w:szCs w:val="20"/>
              </w:rPr>
              <w:t>0.24</w:t>
            </w:r>
          </w:p>
        </w:tc>
        <w:tc>
          <w:tcPr>
            <w:tcW w:w="946" w:type="dxa"/>
            <w:tcBorders>
              <w:top w:val="nil"/>
              <w:left w:val="single" w:sz="4" w:space="0" w:color="auto"/>
              <w:bottom w:val="nil"/>
            </w:tcBorders>
            <w:tcMar>
              <w:top w:w="15" w:type="dxa"/>
              <w:left w:w="15" w:type="dxa"/>
              <w:bottom w:w="150" w:type="dxa"/>
              <w:right w:w="15" w:type="dxa"/>
            </w:tcMar>
            <w:vAlign w:val="bottom"/>
            <w:hideMark/>
          </w:tcPr>
          <w:p w14:paraId="3A680C1A" w14:textId="77777777" w:rsidR="001C0DBF" w:rsidRPr="001C0DBF" w:rsidRDefault="001C0DBF" w:rsidP="00DA2973">
            <w:pPr>
              <w:jc w:val="center"/>
              <w:rPr>
                <w:sz w:val="20"/>
                <w:szCs w:val="20"/>
              </w:rPr>
            </w:pPr>
          </w:p>
        </w:tc>
      </w:tr>
      <w:tr w:rsidR="001C0DBF" w:rsidRPr="001C0DBF" w14:paraId="478CF667"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09D8B671" w14:textId="77777777" w:rsidR="001C0DBF" w:rsidRPr="001C0DBF" w:rsidRDefault="001C0DBF" w:rsidP="00DA2973">
            <w:pPr>
              <w:jc w:val="center"/>
              <w:rPr>
                <w:sz w:val="20"/>
                <w:szCs w:val="20"/>
              </w:rPr>
            </w:pPr>
            <w:r w:rsidRPr="001C0DBF">
              <w:rPr>
                <w:color w:val="000000"/>
                <w:sz w:val="20"/>
                <w:szCs w:val="20"/>
              </w:rPr>
              <w:t>Counts + Productivity</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59DBBDAE" w14:textId="77777777" w:rsidR="001C0DBF" w:rsidRPr="001C0DBF" w:rsidRDefault="001C0DBF" w:rsidP="00DA2973">
            <w:pPr>
              <w:jc w:val="center"/>
              <w:rPr>
                <w:sz w:val="20"/>
                <w:szCs w:val="20"/>
              </w:rPr>
            </w:pPr>
            <w:r w:rsidRPr="001C0DBF">
              <w:rPr>
                <w:color w:val="000000"/>
                <w:sz w:val="20"/>
                <w:szCs w:val="20"/>
              </w:rPr>
              <w:t>9</w:t>
            </w:r>
          </w:p>
        </w:tc>
        <w:tc>
          <w:tcPr>
            <w:tcW w:w="945" w:type="dxa"/>
            <w:tcBorders>
              <w:top w:val="single" w:sz="4" w:space="0" w:color="auto"/>
              <w:left w:val="single" w:sz="4" w:space="0" w:color="auto"/>
              <w:bottom w:val="single" w:sz="4" w:space="0" w:color="auto"/>
              <w:right w:val="single" w:sz="4" w:space="0" w:color="auto"/>
            </w:tcBorders>
            <w:shd w:val="clear" w:color="auto" w:fill="F96F6D"/>
            <w:tcMar>
              <w:top w:w="15" w:type="dxa"/>
              <w:left w:w="15" w:type="dxa"/>
              <w:bottom w:w="150" w:type="dxa"/>
              <w:right w:w="15" w:type="dxa"/>
            </w:tcMar>
            <w:vAlign w:val="bottom"/>
            <w:hideMark/>
          </w:tcPr>
          <w:p w14:paraId="5E0891A1" w14:textId="77777777" w:rsidR="001C0DBF" w:rsidRPr="001C0DBF" w:rsidRDefault="001C0DBF" w:rsidP="00DA2973">
            <w:pPr>
              <w:jc w:val="center"/>
              <w:rPr>
                <w:sz w:val="20"/>
                <w:szCs w:val="20"/>
              </w:rPr>
            </w:pPr>
            <w:r w:rsidRPr="001C0DBF">
              <w:rPr>
                <w:color w:val="000000"/>
                <w:sz w:val="20"/>
                <w:szCs w:val="20"/>
              </w:rPr>
              <w:t>0.29</w:t>
            </w:r>
          </w:p>
        </w:tc>
        <w:tc>
          <w:tcPr>
            <w:tcW w:w="945" w:type="dxa"/>
            <w:tcBorders>
              <w:top w:val="single" w:sz="4" w:space="0" w:color="auto"/>
              <w:left w:val="single" w:sz="4" w:space="0" w:color="auto"/>
              <w:bottom w:val="single" w:sz="4" w:space="0" w:color="auto"/>
              <w:right w:val="single" w:sz="4" w:space="0" w:color="auto"/>
            </w:tcBorders>
            <w:shd w:val="clear" w:color="auto" w:fill="FCA577"/>
            <w:tcMar>
              <w:top w:w="15" w:type="dxa"/>
              <w:left w:w="15" w:type="dxa"/>
              <w:bottom w:w="150" w:type="dxa"/>
              <w:right w:w="15" w:type="dxa"/>
            </w:tcMar>
            <w:vAlign w:val="bottom"/>
            <w:hideMark/>
          </w:tcPr>
          <w:p w14:paraId="09C7AA07" w14:textId="77777777" w:rsidR="001C0DBF" w:rsidRPr="001C0DBF" w:rsidRDefault="001C0DBF" w:rsidP="00DA2973">
            <w:pPr>
              <w:jc w:val="center"/>
              <w:rPr>
                <w:sz w:val="20"/>
                <w:szCs w:val="20"/>
              </w:rPr>
            </w:pPr>
            <w:r w:rsidRPr="001C0DBF">
              <w:rPr>
                <w:color w:val="000000"/>
                <w:sz w:val="20"/>
                <w:szCs w:val="20"/>
              </w:rPr>
              <w:t>0.19</w:t>
            </w:r>
          </w:p>
        </w:tc>
        <w:tc>
          <w:tcPr>
            <w:tcW w:w="945" w:type="dxa"/>
            <w:tcBorders>
              <w:top w:val="single" w:sz="4" w:space="0" w:color="auto"/>
              <w:left w:val="single" w:sz="4" w:space="0" w:color="auto"/>
              <w:bottom w:val="single" w:sz="4" w:space="0" w:color="auto"/>
              <w:right w:val="single" w:sz="4" w:space="0" w:color="auto"/>
            </w:tcBorders>
            <w:shd w:val="clear" w:color="auto" w:fill="B1D47F"/>
            <w:tcMar>
              <w:top w:w="15" w:type="dxa"/>
              <w:left w:w="15" w:type="dxa"/>
              <w:bottom w:w="150" w:type="dxa"/>
              <w:right w:w="15" w:type="dxa"/>
            </w:tcMar>
            <w:vAlign w:val="bottom"/>
            <w:hideMark/>
          </w:tcPr>
          <w:p w14:paraId="4BD28E88" w14:textId="77777777" w:rsidR="001C0DBF" w:rsidRPr="001C0DBF" w:rsidRDefault="001C0DBF" w:rsidP="00DA2973">
            <w:pPr>
              <w:jc w:val="center"/>
              <w:rPr>
                <w:sz w:val="20"/>
                <w:szCs w:val="20"/>
              </w:rPr>
            </w:pPr>
            <w:r w:rsidRPr="001C0DBF">
              <w:rPr>
                <w:color w:val="000000"/>
                <w:sz w:val="20"/>
                <w:szCs w:val="20"/>
              </w:rPr>
              <w:t>0.03</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67B2D5E4"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DBB7B"/>
            <w:tcMar>
              <w:top w:w="15" w:type="dxa"/>
              <w:left w:w="15" w:type="dxa"/>
              <w:bottom w:w="150" w:type="dxa"/>
              <w:right w:w="15" w:type="dxa"/>
            </w:tcMar>
            <w:vAlign w:val="bottom"/>
            <w:hideMark/>
          </w:tcPr>
          <w:p w14:paraId="52C4678A" w14:textId="77777777" w:rsidR="001C0DBF" w:rsidRPr="001C0DBF" w:rsidRDefault="001C0DBF" w:rsidP="00DA2973">
            <w:pPr>
              <w:jc w:val="center"/>
              <w:rPr>
                <w:sz w:val="20"/>
                <w:szCs w:val="20"/>
              </w:rPr>
            </w:pPr>
            <w:r w:rsidRPr="001C0DBF">
              <w:rPr>
                <w:color w:val="000000"/>
                <w:sz w:val="20"/>
                <w:szCs w:val="20"/>
              </w:rPr>
              <w:t>0.15</w:t>
            </w:r>
          </w:p>
        </w:tc>
        <w:tc>
          <w:tcPr>
            <w:tcW w:w="946" w:type="dxa"/>
            <w:tcBorders>
              <w:top w:val="nil"/>
              <w:left w:val="single" w:sz="4" w:space="0" w:color="auto"/>
              <w:bottom w:val="nil"/>
            </w:tcBorders>
            <w:tcMar>
              <w:top w:w="15" w:type="dxa"/>
              <w:left w:w="15" w:type="dxa"/>
              <w:bottom w:w="150" w:type="dxa"/>
              <w:right w:w="15" w:type="dxa"/>
            </w:tcMar>
            <w:vAlign w:val="bottom"/>
            <w:hideMark/>
          </w:tcPr>
          <w:p w14:paraId="53C4FF8F" w14:textId="77777777" w:rsidR="001C0DBF" w:rsidRPr="001C0DBF" w:rsidRDefault="001C0DBF" w:rsidP="00DA2973">
            <w:pPr>
              <w:jc w:val="center"/>
              <w:rPr>
                <w:sz w:val="20"/>
                <w:szCs w:val="20"/>
              </w:rPr>
            </w:pPr>
          </w:p>
        </w:tc>
      </w:tr>
      <w:tr w:rsidR="001C0DBF" w:rsidRPr="001C0DBF" w14:paraId="76969A4E"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05D5A503" w14:textId="77777777" w:rsidR="001C0DBF" w:rsidRPr="001C0DBF" w:rsidRDefault="001C0DBF" w:rsidP="00DA2973">
            <w:pPr>
              <w:jc w:val="center"/>
              <w:rPr>
                <w:sz w:val="20"/>
                <w:szCs w:val="20"/>
              </w:rPr>
            </w:pPr>
            <w:r w:rsidRPr="001C0DBF">
              <w:rPr>
                <w:color w:val="000000"/>
                <w:sz w:val="20"/>
                <w:szCs w:val="20"/>
              </w:rPr>
              <w:t>Counts + Productivity</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70282487" w14:textId="77777777" w:rsidR="001C0DBF" w:rsidRPr="001C0DBF" w:rsidRDefault="001C0DBF" w:rsidP="00DA2973">
            <w:pPr>
              <w:jc w:val="center"/>
              <w:rPr>
                <w:sz w:val="20"/>
                <w:szCs w:val="20"/>
              </w:rPr>
            </w:pPr>
            <w:r w:rsidRPr="001C0DBF">
              <w:rPr>
                <w:color w:val="000000"/>
                <w:sz w:val="20"/>
                <w:szCs w:val="20"/>
              </w:rPr>
              <w:t>10</w:t>
            </w:r>
          </w:p>
        </w:tc>
        <w:tc>
          <w:tcPr>
            <w:tcW w:w="945" w:type="dxa"/>
            <w:tcBorders>
              <w:top w:val="single" w:sz="4" w:space="0" w:color="auto"/>
              <w:left w:val="single" w:sz="4" w:space="0" w:color="auto"/>
              <w:bottom w:val="single" w:sz="4" w:space="0" w:color="auto"/>
              <w:right w:val="single" w:sz="4" w:space="0" w:color="auto"/>
            </w:tcBorders>
            <w:shd w:val="clear" w:color="auto" w:fill="FCAA78"/>
            <w:tcMar>
              <w:top w:w="15" w:type="dxa"/>
              <w:left w:w="15" w:type="dxa"/>
              <w:bottom w:w="150" w:type="dxa"/>
              <w:right w:w="15" w:type="dxa"/>
            </w:tcMar>
            <w:vAlign w:val="bottom"/>
            <w:hideMark/>
          </w:tcPr>
          <w:p w14:paraId="4F0E30F9" w14:textId="77777777" w:rsidR="001C0DBF" w:rsidRPr="001C0DBF" w:rsidRDefault="001C0DBF" w:rsidP="00DA2973">
            <w:pPr>
              <w:jc w:val="center"/>
              <w:rPr>
                <w:sz w:val="20"/>
                <w:szCs w:val="20"/>
              </w:rPr>
            </w:pPr>
            <w:r w:rsidRPr="001C0DBF">
              <w:rPr>
                <w:color w:val="000000"/>
                <w:sz w:val="20"/>
                <w:szCs w:val="20"/>
              </w:rPr>
              <w:t>0.18</w:t>
            </w:r>
          </w:p>
        </w:tc>
        <w:tc>
          <w:tcPr>
            <w:tcW w:w="945" w:type="dxa"/>
            <w:tcBorders>
              <w:top w:val="single" w:sz="4" w:space="0" w:color="auto"/>
              <w:left w:val="single" w:sz="4" w:space="0" w:color="auto"/>
              <w:bottom w:val="single" w:sz="4" w:space="0" w:color="auto"/>
              <w:right w:val="single" w:sz="4" w:space="0" w:color="auto"/>
            </w:tcBorders>
            <w:shd w:val="clear" w:color="auto" w:fill="FECB7E"/>
            <w:tcMar>
              <w:top w:w="15" w:type="dxa"/>
              <w:left w:w="15" w:type="dxa"/>
              <w:bottom w:w="150" w:type="dxa"/>
              <w:right w:w="15" w:type="dxa"/>
            </w:tcMar>
            <w:vAlign w:val="bottom"/>
            <w:hideMark/>
          </w:tcPr>
          <w:p w14:paraId="6E79A9E1" w14:textId="77777777" w:rsidR="001C0DBF" w:rsidRPr="001C0DBF" w:rsidRDefault="001C0DBF" w:rsidP="00DA2973">
            <w:pPr>
              <w:jc w:val="center"/>
              <w:rPr>
                <w:sz w:val="20"/>
                <w:szCs w:val="20"/>
              </w:rPr>
            </w:pPr>
            <w:r w:rsidRPr="001C0DBF">
              <w:rPr>
                <w:color w:val="000000"/>
                <w:sz w:val="20"/>
                <w:szCs w:val="20"/>
              </w:rPr>
              <w:t>0.12</w:t>
            </w:r>
          </w:p>
        </w:tc>
        <w:tc>
          <w:tcPr>
            <w:tcW w:w="945" w:type="dxa"/>
            <w:tcBorders>
              <w:top w:val="single" w:sz="4" w:space="0" w:color="auto"/>
              <w:left w:val="single" w:sz="4" w:space="0" w:color="auto"/>
              <w:bottom w:val="single" w:sz="4" w:space="0" w:color="auto"/>
              <w:right w:val="single" w:sz="4" w:space="0" w:color="auto"/>
            </w:tcBorders>
            <w:shd w:val="clear" w:color="auto" w:fill="B1D47F"/>
            <w:tcMar>
              <w:top w:w="15" w:type="dxa"/>
              <w:left w:w="15" w:type="dxa"/>
              <w:bottom w:w="150" w:type="dxa"/>
              <w:right w:w="15" w:type="dxa"/>
            </w:tcMar>
            <w:vAlign w:val="bottom"/>
            <w:hideMark/>
          </w:tcPr>
          <w:p w14:paraId="4C770C62" w14:textId="77777777" w:rsidR="001C0DBF" w:rsidRPr="001C0DBF" w:rsidRDefault="001C0DBF" w:rsidP="00DA2973">
            <w:pPr>
              <w:jc w:val="center"/>
              <w:rPr>
                <w:sz w:val="20"/>
                <w:szCs w:val="20"/>
              </w:rPr>
            </w:pPr>
            <w:r w:rsidRPr="001C0DBF">
              <w:rPr>
                <w:color w:val="000000"/>
                <w:sz w:val="20"/>
                <w:szCs w:val="20"/>
              </w:rPr>
              <w:t>0.03</w:t>
            </w:r>
          </w:p>
        </w:tc>
        <w:tc>
          <w:tcPr>
            <w:tcW w:w="9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bottom w:w="150" w:type="dxa"/>
              <w:right w:w="15" w:type="dxa"/>
            </w:tcMar>
            <w:vAlign w:val="bottom"/>
            <w:hideMark/>
          </w:tcPr>
          <w:p w14:paraId="0E22D7F5" w14:textId="77777777" w:rsidR="001C0DBF" w:rsidRPr="001C0DBF" w:rsidRDefault="001C0DBF" w:rsidP="00DA2973">
            <w:pPr>
              <w:jc w:val="center"/>
              <w:rPr>
                <w:sz w:val="20"/>
                <w:szCs w:val="20"/>
              </w:rPr>
            </w:pPr>
            <w:r w:rsidRPr="001C0DBF">
              <w:rPr>
                <w:color w:val="000000"/>
                <w:sz w:val="20"/>
                <w:szCs w:val="20"/>
              </w:rPr>
              <w:t>0</w:t>
            </w:r>
          </w:p>
        </w:tc>
        <w:tc>
          <w:tcPr>
            <w:tcW w:w="945" w:type="dxa"/>
            <w:tcBorders>
              <w:top w:val="single" w:sz="4" w:space="0" w:color="auto"/>
              <w:left w:val="single" w:sz="4" w:space="0" w:color="auto"/>
              <w:bottom w:val="single" w:sz="4" w:space="0" w:color="auto"/>
              <w:right w:val="single" w:sz="4" w:space="0" w:color="auto"/>
            </w:tcBorders>
            <w:shd w:val="clear" w:color="auto" w:fill="FDB57A"/>
            <w:tcMar>
              <w:top w:w="15" w:type="dxa"/>
              <w:left w:w="15" w:type="dxa"/>
              <w:bottom w:w="150" w:type="dxa"/>
              <w:right w:w="15" w:type="dxa"/>
            </w:tcMar>
            <w:vAlign w:val="bottom"/>
            <w:hideMark/>
          </w:tcPr>
          <w:p w14:paraId="69C38900" w14:textId="77777777" w:rsidR="001C0DBF" w:rsidRPr="001C0DBF" w:rsidRDefault="001C0DBF" w:rsidP="00DA2973">
            <w:pPr>
              <w:jc w:val="center"/>
              <w:rPr>
                <w:sz w:val="20"/>
                <w:szCs w:val="20"/>
              </w:rPr>
            </w:pPr>
            <w:r w:rsidRPr="001C0DBF">
              <w:rPr>
                <w:color w:val="000000"/>
                <w:sz w:val="20"/>
                <w:szCs w:val="20"/>
              </w:rPr>
              <w:t>0.16</w:t>
            </w:r>
          </w:p>
        </w:tc>
        <w:tc>
          <w:tcPr>
            <w:tcW w:w="946" w:type="dxa"/>
            <w:tcBorders>
              <w:top w:val="nil"/>
              <w:left w:val="single" w:sz="4" w:space="0" w:color="auto"/>
              <w:bottom w:val="single" w:sz="4" w:space="0" w:color="auto"/>
            </w:tcBorders>
            <w:tcMar>
              <w:top w:w="15" w:type="dxa"/>
              <w:left w:w="15" w:type="dxa"/>
              <w:bottom w:w="150" w:type="dxa"/>
              <w:right w:w="15" w:type="dxa"/>
            </w:tcMar>
            <w:vAlign w:val="bottom"/>
            <w:hideMark/>
          </w:tcPr>
          <w:p w14:paraId="0D6BAB48" w14:textId="77777777" w:rsidR="001C0DBF" w:rsidRPr="001C0DBF" w:rsidRDefault="001C0DBF" w:rsidP="00DA2973">
            <w:pPr>
              <w:jc w:val="center"/>
              <w:rPr>
                <w:sz w:val="20"/>
                <w:szCs w:val="20"/>
              </w:rPr>
            </w:pPr>
          </w:p>
        </w:tc>
      </w:tr>
      <w:tr w:rsidR="001C0DBF" w:rsidRPr="001C0DBF" w14:paraId="3C90E9F7" w14:textId="77777777" w:rsidTr="00DA2973">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bottom"/>
            <w:hideMark/>
          </w:tcPr>
          <w:p w14:paraId="0AAAA889" w14:textId="77777777" w:rsidR="001C0DBF" w:rsidRPr="001C0DBF" w:rsidRDefault="001C0DBF" w:rsidP="00DA2973">
            <w:pPr>
              <w:jc w:val="center"/>
              <w:rPr>
                <w:sz w:val="20"/>
                <w:szCs w:val="20"/>
              </w:rPr>
            </w:pPr>
            <w:r w:rsidRPr="001C0DBF">
              <w:rPr>
                <w:color w:val="000000"/>
                <w:sz w:val="20"/>
                <w:szCs w:val="20"/>
              </w:rPr>
              <w:t>Counts + MR</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bottom"/>
            <w:hideMark/>
          </w:tcPr>
          <w:p w14:paraId="50104F88" w14:textId="77777777" w:rsidR="001C0DBF" w:rsidRPr="001C0DBF" w:rsidRDefault="001C0DBF" w:rsidP="00DA2973">
            <w:pPr>
              <w:jc w:val="center"/>
              <w:rPr>
                <w:sz w:val="20"/>
                <w:szCs w:val="20"/>
              </w:rPr>
            </w:pPr>
            <w:r w:rsidRPr="001C0DBF">
              <w:rPr>
                <w:color w:val="000000"/>
                <w:sz w:val="20"/>
                <w:szCs w:val="20"/>
              </w:rPr>
              <w:t>11</w:t>
            </w:r>
          </w:p>
        </w:tc>
        <w:tc>
          <w:tcPr>
            <w:tcW w:w="945" w:type="dxa"/>
            <w:tcBorders>
              <w:top w:val="single" w:sz="4" w:space="0" w:color="auto"/>
              <w:left w:val="single" w:sz="4" w:space="0" w:color="auto"/>
              <w:bottom w:val="single" w:sz="4" w:space="0" w:color="auto"/>
              <w:right w:val="single" w:sz="4" w:space="0" w:color="auto"/>
            </w:tcBorders>
            <w:shd w:val="clear" w:color="auto" w:fill="FDB57A"/>
            <w:tcMar>
              <w:top w:w="15" w:type="dxa"/>
              <w:left w:w="15" w:type="dxa"/>
              <w:bottom w:w="150" w:type="dxa"/>
              <w:right w:w="15" w:type="dxa"/>
            </w:tcMar>
            <w:vAlign w:val="bottom"/>
            <w:hideMark/>
          </w:tcPr>
          <w:p w14:paraId="1CC8045A" w14:textId="77777777" w:rsidR="001C0DBF" w:rsidRPr="001C0DBF" w:rsidRDefault="001C0DBF" w:rsidP="00DA2973">
            <w:pPr>
              <w:jc w:val="center"/>
              <w:rPr>
                <w:sz w:val="20"/>
                <w:szCs w:val="20"/>
              </w:rPr>
            </w:pPr>
            <w:r w:rsidRPr="001C0DBF">
              <w:rPr>
                <w:color w:val="000000"/>
                <w:sz w:val="20"/>
                <w:szCs w:val="20"/>
              </w:rPr>
              <w:t>0.16</w:t>
            </w:r>
          </w:p>
        </w:tc>
        <w:tc>
          <w:tcPr>
            <w:tcW w:w="945" w:type="dxa"/>
            <w:tcBorders>
              <w:top w:val="single" w:sz="4" w:space="0" w:color="auto"/>
              <w:left w:val="single" w:sz="4" w:space="0" w:color="auto"/>
              <w:bottom w:val="single" w:sz="4" w:space="0" w:color="auto"/>
              <w:right w:val="single" w:sz="4" w:space="0" w:color="auto"/>
            </w:tcBorders>
            <w:shd w:val="clear" w:color="auto" w:fill="B1D47F"/>
            <w:tcMar>
              <w:top w:w="15" w:type="dxa"/>
              <w:left w:w="15" w:type="dxa"/>
              <w:bottom w:w="150" w:type="dxa"/>
              <w:right w:w="15" w:type="dxa"/>
            </w:tcMar>
            <w:vAlign w:val="bottom"/>
            <w:hideMark/>
          </w:tcPr>
          <w:p w14:paraId="405BB268" w14:textId="77777777" w:rsidR="001C0DBF" w:rsidRPr="001C0DBF" w:rsidRDefault="001C0DBF" w:rsidP="00DA2973">
            <w:pPr>
              <w:jc w:val="center"/>
              <w:rPr>
                <w:sz w:val="20"/>
                <w:szCs w:val="20"/>
              </w:rPr>
            </w:pPr>
            <w:r w:rsidRPr="001C0DBF">
              <w:rPr>
                <w:color w:val="000000"/>
                <w:sz w:val="20"/>
                <w:szCs w:val="20"/>
              </w:rPr>
              <w:t>0.03</w:t>
            </w:r>
          </w:p>
        </w:tc>
        <w:tc>
          <w:tcPr>
            <w:tcW w:w="945" w:type="dxa"/>
            <w:tcBorders>
              <w:top w:val="single" w:sz="4" w:space="0" w:color="auto"/>
              <w:left w:val="single" w:sz="4" w:space="0" w:color="auto"/>
              <w:bottom w:val="single" w:sz="4" w:space="0" w:color="auto"/>
              <w:right w:val="single" w:sz="4" w:space="0" w:color="auto"/>
            </w:tcBorders>
            <w:shd w:val="clear" w:color="auto" w:fill="FCB079"/>
            <w:tcMar>
              <w:top w:w="15" w:type="dxa"/>
              <w:left w:w="15" w:type="dxa"/>
              <w:bottom w:w="150" w:type="dxa"/>
              <w:right w:w="15" w:type="dxa"/>
            </w:tcMar>
            <w:vAlign w:val="bottom"/>
            <w:hideMark/>
          </w:tcPr>
          <w:p w14:paraId="18D82516" w14:textId="77777777" w:rsidR="001C0DBF" w:rsidRPr="001C0DBF" w:rsidRDefault="001C0DBF" w:rsidP="00DA2973">
            <w:pPr>
              <w:jc w:val="center"/>
              <w:rPr>
                <w:sz w:val="20"/>
                <w:szCs w:val="20"/>
              </w:rPr>
            </w:pPr>
            <w:r w:rsidRPr="001C0DBF">
              <w:rPr>
                <w:color w:val="000000"/>
                <w:sz w:val="20"/>
                <w:szCs w:val="20"/>
              </w:rPr>
              <w:t>0.17</w:t>
            </w:r>
          </w:p>
        </w:tc>
        <w:tc>
          <w:tcPr>
            <w:tcW w:w="945" w:type="dxa"/>
            <w:tcBorders>
              <w:top w:val="single" w:sz="4" w:space="0" w:color="auto"/>
              <w:left w:val="single" w:sz="4" w:space="0" w:color="auto"/>
              <w:bottom w:val="single" w:sz="4" w:space="0" w:color="auto"/>
              <w:right w:val="single" w:sz="4" w:space="0" w:color="auto"/>
            </w:tcBorders>
            <w:shd w:val="clear" w:color="auto" w:fill="7DC57C"/>
            <w:tcMar>
              <w:top w:w="15" w:type="dxa"/>
              <w:left w:w="15" w:type="dxa"/>
              <w:bottom w:w="150" w:type="dxa"/>
              <w:right w:w="15" w:type="dxa"/>
            </w:tcMar>
            <w:vAlign w:val="bottom"/>
            <w:hideMark/>
          </w:tcPr>
          <w:p w14:paraId="371386A6" w14:textId="77777777" w:rsidR="001C0DBF" w:rsidRPr="001C0DBF" w:rsidRDefault="001C0DBF" w:rsidP="00DA2973">
            <w:pPr>
              <w:jc w:val="center"/>
              <w:rPr>
                <w:sz w:val="20"/>
                <w:szCs w:val="20"/>
              </w:rPr>
            </w:pPr>
            <w:r w:rsidRPr="001C0DBF">
              <w:rPr>
                <w:color w:val="000000"/>
                <w:sz w:val="20"/>
                <w:szCs w:val="20"/>
              </w:rPr>
              <w:t>0.01</w:t>
            </w:r>
          </w:p>
        </w:tc>
        <w:tc>
          <w:tcPr>
            <w:tcW w:w="945" w:type="dxa"/>
            <w:tcBorders>
              <w:top w:val="single" w:sz="4" w:space="0" w:color="auto"/>
              <w:left w:val="single" w:sz="4" w:space="0" w:color="auto"/>
              <w:bottom w:val="single" w:sz="4" w:space="0" w:color="auto"/>
              <w:right w:val="single" w:sz="4" w:space="0" w:color="auto"/>
            </w:tcBorders>
            <w:shd w:val="clear" w:color="auto" w:fill="FFE182"/>
            <w:tcMar>
              <w:top w:w="15" w:type="dxa"/>
              <w:left w:w="15" w:type="dxa"/>
              <w:bottom w:w="150" w:type="dxa"/>
              <w:right w:w="15" w:type="dxa"/>
            </w:tcMar>
            <w:vAlign w:val="bottom"/>
            <w:hideMark/>
          </w:tcPr>
          <w:p w14:paraId="032156FD" w14:textId="77777777" w:rsidR="001C0DBF" w:rsidRPr="001C0DBF" w:rsidRDefault="001C0DBF" w:rsidP="00DA2973">
            <w:pPr>
              <w:jc w:val="center"/>
              <w:rPr>
                <w:sz w:val="20"/>
                <w:szCs w:val="20"/>
              </w:rPr>
            </w:pPr>
            <w:r w:rsidRPr="001C0DBF">
              <w:rPr>
                <w:color w:val="000000"/>
                <w:sz w:val="20"/>
                <w:szCs w:val="20"/>
              </w:rPr>
              <w:t>0.08</w:t>
            </w:r>
          </w:p>
        </w:tc>
        <w:tc>
          <w:tcPr>
            <w:tcW w:w="946" w:type="dxa"/>
            <w:tcBorders>
              <w:top w:val="single" w:sz="4" w:space="0" w:color="auto"/>
              <w:left w:val="single" w:sz="4" w:space="0" w:color="auto"/>
              <w:bottom w:val="single" w:sz="4" w:space="0" w:color="auto"/>
            </w:tcBorders>
            <w:shd w:val="clear" w:color="auto" w:fill="B1D47F"/>
            <w:tcMar>
              <w:top w:w="15" w:type="dxa"/>
              <w:left w:w="15" w:type="dxa"/>
              <w:bottom w:w="150" w:type="dxa"/>
              <w:right w:w="15" w:type="dxa"/>
            </w:tcMar>
            <w:vAlign w:val="bottom"/>
            <w:hideMark/>
          </w:tcPr>
          <w:p w14:paraId="3112E2BB" w14:textId="77777777" w:rsidR="001C0DBF" w:rsidRPr="001C0DBF" w:rsidRDefault="001C0DBF" w:rsidP="00DA2973">
            <w:pPr>
              <w:jc w:val="center"/>
              <w:rPr>
                <w:sz w:val="20"/>
                <w:szCs w:val="20"/>
              </w:rPr>
            </w:pPr>
            <w:r w:rsidRPr="001C0DBF">
              <w:rPr>
                <w:color w:val="000000"/>
                <w:sz w:val="20"/>
                <w:szCs w:val="20"/>
              </w:rPr>
              <w:t>0.03</w:t>
            </w:r>
          </w:p>
        </w:tc>
      </w:tr>
      <w:tr w:rsidR="001C0DBF" w:rsidRPr="001C0DBF" w14:paraId="2B16BD59" w14:textId="77777777" w:rsidTr="00ED789F">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center"/>
            <w:hideMark/>
          </w:tcPr>
          <w:p w14:paraId="1E6C84E5" w14:textId="77777777" w:rsidR="001C0DBF" w:rsidRPr="001C0DBF" w:rsidRDefault="001C0DBF" w:rsidP="00ED789F">
            <w:pPr>
              <w:jc w:val="center"/>
              <w:rPr>
                <w:sz w:val="20"/>
                <w:szCs w:val="20"/>
              </w:rPr>
            </w:pPr>
            <w:r w:rsidRPr="001C0DBF">
              <w:rPr>
                <w:color w:val="000000"/>
                <w:sz w:val="20"/>
                <w:szCs w:val="20"/>
              </w:rPr>
              <w:lastRenderedPageBreak/>
              <w:t>Counts + MR</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443308B4" w14:textId="77777777" w:rsidR="001C0DBF" w:rsidRPr="001C0DBF" w:rsidRDefault="001C0DBF" w:rsidP="00ED789F">
            <w:pPr>
              <w:jc w:val="center"/>
              <w:rPr>
                <w:sz w:val="20"/>
                <w:szCs w:val="20"/>
              </w:rPr>
            </w:pPr>
            <w:r w:rsidRPr="001C0DBF">
              <w:rPr>
                <w:color w:val="000000"/>
                <w:sz w:val="20"/>
                <w:szCs w:val="20"/>
              </w:rPr>
              <w:t>12</w:t>
            </w:r>
          </w:p>
        </w:tc>
        <w:tc>
          <w:tcPr>
            <w:tcW w:w="945" w:type="dxa"/>
            <w:tcBorders>
              <w:top w:val="single" w:sz="4" w:space="0" w:color="auto"/>
              <w:left w:val="single" w:sz="4" w:space="0" w:color="auto"/>
              <w:bottom w:val="single" w:sz="4" w:space="0" w:color="auto"/>
              <w:right w:val="single" w:sz="4" w:space="0" w:color="auto"/>
            </w:tcBorders>
            <w:shd w:val="clear" w:color="auto" w:fill="F97A6F"/>
            <w:tcMar>
              <w:top w:w="15" w:type="dxa"/>
              <w:left w:w="15" w:type="dxa"/>
              <w:bottom w:w="150" w:type="dxa"/>
              <w:right w:w="15" w:type="dxa"/>
            </w:tcMar>
            <w:vAlign w:val="center"/>
            <w:hideMark/>
          </w:tcPr>
          <w:p w14:paraId="74E1AE1D" w14:textId="77777777" w:rsidR="001C0DBF" w:rsidRPr="001C0DBF" w:rsidRDefault="001C0DBF" w:rsidP="00ED789F">
            <w:pPr>
              <w:jc w:val="center"/>
              <w:rPr>
                <w:sz w:val="20"/>
                <w:szCs w:val="20"/>
              </w:rPr>
            </w:pPr>
            <w:r w:rsidRPr="001C0DBF">
              <w:rPr>
                <w:color w:val="000000"/>
                <w:sz w:val="20"/>
                <w:szCs w:val="20"/>
              </w:rPr>
              <w:t>0.27</w:t>
            </w:r>
          </w:p>
        </w:tc>
        <w:tc>
          <w:tcPr>
            <w:tcW w:w="945" w:type="dxa"/>
            <w:tcBorders>
              <w:top w:val="single" w:sz="4" w:space="0" w:color="auto"/>
              <w:left w:val="single" w:sz="4" w:space="0" w:color="auto"/>
              <w:bottom w:val="single" w:sz="4" w:space="0" w:color="auto"/>
              <w:right w:val="single" w:sz="4" w:space="0" w:color="auto"/>
            </w:tcBorders>
            <w:shd w:val="clear" w:color="auto" w:fill="B1D47F"/>
            <w:tcMar>
              <w:top w:w="15" w:type="dxa"/>
              <w:left w:w="15" w:type="dxa"/>
              <w:bottom w:w="150" w:type="dxa"/>
              <w:right w:w="15" w:type="dxa"/>
            </w:tcMar>
            <w:vAlign w:val="center"/>
            <w:hideMark/>
          </w:tcPr>
          <w:p w14:paraId="10E18EBE" w14:textId="77777777" w:rsidR="001C0DBF" w:rsidRPr="001C0DBF" w:rsidRDefault="001C0DBF" w:rsidP="00ED789F">
            <w:pPr>
              <w:jc w:val="center"/>
              <w:rPr>
                <w:sz w:val="20"/>
                <w:szCs w:val="20"/>
              </w:rPr>
            </w:pPr>
            <w:r w:rsidRPr="001C0DBF">
              <w:rPr>
                <w:color w:val="000000"/>
                <w:sz w:val="20"/>
                <w:szCs w:val="20"/>
              </w:rPr>
              <w:t>0.03</w:t>
            </w:r>
          </w:p>
        </w:tc>
        <w:tc>
          <w:tcPr>
            <w:tcW w:w="945" w:type="dxa"/>
            <w:tcBorders>
              <w:top w:val="single" w:sz="4" w:space="0" w:color="auto"/>
              <w:left w:val="single" w:sz="4" w:space="0" w:color="auto"/>
              <w:bottom w:val="single" w:sz="4" w:space="0" w:color="auto"/>
              <w:right w:val="single" w:sz="4" w:space="0" w:color="auto"/>
            </w:tcBorders>
            <w:shd w:val="clear" w:color="auto" w:fill="F96F6D"/>
            <w:tcMar>
              <w:top w:w="15" w:type="dxa"/>
              <w:left w:w="15" w:type="dxa"/>
              <w:bottom w:w="150" w:type="dxa"/>
              <w:right w:w="15" w:type="dxa"/>
            </w:tcMar>
            <w:vAlign w:val="center"/>
            <w:hideMark/>
          </w:tcPr>
          <w:p w14:paraId="382DBA68" w14:textId="77777777" w:rsidR="001C0DBF" w:rsidRPr="001C0DBF" w:rsidRDefault="001C0DBF" w:rsidP="00ED789F">
            <w:pPr>
              <w:jc w:val="center"/>
              <w:rPr>
                <w:sz w:val="20"/>
                <w:szCs w:val="20"/>
              </w:rPr>
            </w:pPr>
            <w:r w:rsidRPr="001C0DBF">
              <w:rPr>
                <w:color w:val="000000"/>
                <w:sz w:val="20"/>
                <w:szCs w:val="20"/>
              </w:rPr>
              <w:t>0.29</w:t>
            </w:r>
          </w:p>
        </w:tc>
        <w:tc>
          <w:tcPr>
            <w:tcW w:w="945" w:type="dxa"/>
            <w:tcBorders>
              <w:top w:val="single" w:sz="4" w:space="0" w:color="auto"/>
              <w:left w:val="single" w:sz="4" w:space="0" w:color="auto"/>
              <w:bottom w:val="single" w:sz="4" w:space="0" w:color="auto"/>
              <w:right w:val="single" w:sz="4" w:space="0" w:color="auto"/>
            </w:tcBorders>
            <w:shd w:val="clear" w:color="auto" w:fill="97CD7E"/>
            <w:tcMar>
              <w:top w:w="15" w:type="dxa"/>
              <w:left w:w="15" w:type="dxa"/>
              <w:bottom w:w="150" w:type="dxa"/>
              <w:right w:w="15" w:type="dxa"/>
            </w:tcMar>
            <w:vAlign w:val="center"/>
            <w:hideMark/>
          </w:tcPr>
          <w:p w14:paraId="4D550823" w14:textId="77777777" w:rsidR="001C0DBF" w:rsidRPr="001C0DBF" w:rsidRDefault="001C0DBF" w:rsidP="00ED789F">
            <w:pPr>
              <w:jc w:val="center"/>
              <w:rPr>
                <w:sz w:val="20"/>
                <w:szCs w:val="20"/>
              </w:rPr>
            </w:pPr>
            <w:r w:rsidRPr="001C0DBF">
              <w:rPr>
                <w:color w:val="000000"/>
                <w:sz w:val="20"/>
                <w:szCs w:val="20"/>
              </w:rPr>
              <w:t>0.02</w:t>
            </w:r>
          </w:p>
        </w:tc>
        <w:tc>
          <w:tcPr>
            <w:tcW w:w="945" w:type="dxa"/>
            <w:tcBorders>
              <w:top w:val="single" w:sz="4" w:space="0" w:color="auto"/>
              <w:left w:val="single" w:sz="4" w:space="0" w:color="auto"/>
              <w:bottom w:val="single" w:sz="4" w:space="0" w:color="auto"/>
              <w:right w:val="single" w:sz="4" w:space="0" w:color="auto"/>
            </w:tcBorders>
            <w:shd w:val="clear" w:color="auto" w:fill="FFE683"/>
            <w:tcMar>
              <w:top w:w="15" w:type="dxa"/>
              <w:left w:w="15" w:type="dxa"/>
              <w:bottom w:w="150" w:type="dxa"/>
              <w:right w:w="15" w:type="dxa"/>
            </w:tcMar>
            <w:vAlign w:val="center"/>
            <w:hideMark/>
          </w:tcPr>
          <w:p w14:paraId="5226172E" w14:textId="77777777" w:rsidR="001C0DBF" w:rsidRPr="001C0DBF" w:rsidRDefault="001C0DBF" w:rsidP="00ED789F">
            <w:pPr>
              <w:jc w:val="center"/>
              <w:rPr>
                <w:sz w:val="20"/>
                <w:szCs w:val="20"/>
              </w:rPr>
            </w:pPr>
            <w:r w:rsidRPr="001C0DBF">
              <w:rPr>
                <w:color w:val="000000"/>
                <w:sz w:val="20"/>
                <w:szCs w:val="20"/>
              </w:rPr>
              <w:t>0.07</w:t>
            </w:r>
          </w:p>
        </w:tc>
        <w:tc>
          <w:tcPr>
            <w:tcW w:w="946" w:type="dxa"/>
            <w:tcBorders>
              <w:top w:val="single" w:sz="4" w:space="0" w:color="auto"/>
              <w:left w:val="single" w:sz="4" w:space="0" w:color="auto"/>
              <w:bottom w:val="single" w:sz="4" w:space="0" w:color="auto"/>
            </w:tcBorders>
            <w:shd w:val="clear" w:color="auto" w:fill="CBDC81"/>
            <w:tcMar>
              <w:top w:w="15" w:type="dxa"/>
              <w:left w:w="15" w:type="dxa"/>
              <w:bottom w:w="150" w:type="dxa"/>
              <w:right w:w="15" w:type="dxa"/>
            </w:tcMar>
            <w:vAlign w:val="center"/>
            <w:hideMark/>
          </w:tcPr>
          <w:p w14:paraId="1A543234" w14:textId="77777777" w:rsidR="001C0DBF" w:rsidRPr="001C0DBF" w:rsidRDefault="001C0DBF" w:rsidP="00ED789F">
            <w:pPr>
              <w:jc w:val="center"/>
              <w:rPr>
                <w:sz w:val="20"/>
                <w:szCs w:val="20"/>
              </w:rPr>
            </w:pPr>
            <w:r w:rsidRPr="001C0DBF">
              <w:rPr>
                <w:color w:val="000000"/>
                <w:sz w:val="20"/>
                <w:szCs w:val="20"/>
              </w:rPr>
              <w:t>0.04</w:t>
            </w:r>
          </w:p>
        </w:tc>
      </w:tr>
      <w:tr w:rsidR="001C0DBF" w:rsidRPr="001C0DBF" w14:paraId="5517FFB0" w14:textId="77777777" w:rsidTr="00ED789F">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center"/>
            <w:hideMark/>
          </w:tcPr>
          <w:p w14:paraId="226ACB9C" w14:textId="77777777" w:rsidR="001C0DBF" w:rsidRPr="001C0DBF" w:rsidRDefault="001C0DBF" w:rsidP="00ED789F">
            <w:pPr>
              <w:jc w:val="center"/>
              <w:rPr>
                <w:sz w:val="20"/>
                <w:szCs w:val="20"/>
              </w:rPr>
            </w:pPr>
            <w:r w:rsidRPr="001C0DBF">
              <w:rPr>
                <w:color w:val="000000"/>
                <w:sz w:val="20"/>
                <w:szCs w:val="20"/>
              </w:rPr>
              <w:t>Counts + MR</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7611F610" w14:textId="77777777" w:rsidR="001C0DBF" w:rsidRPr="001C0DBF" w:rsidRDefault="001C0DBF" w:rsidP="00ED789F">
            <w:pPr>
              <w:jc w:val="center"/>
              <w:rPr>
                <w:sz w:val="20"/>
                <w:szCs w:val="20"/>
              </w:rPr>
            </w:pPr>
            <w:r w:rsidRPr="001C0DBF">
              <w:rPr>
                <w:color w:val="000000"/>
                <w:sz w:val="20"/>
                <w:szCs w:val="20"/>
              </w:rPr>
              <w:t>13</w:t>
            </w:r>
          </w:p>
        </w:tc>
        <w:tc>
          <w:tcPr>
            <w:tcW w:w="945" w:type="dxa"/>
            <w:tcBorders>
              <w:top w:val="single" w:sz="4" w:space="0" w:color="auto"/>
              <w:left w:val="single" w:sz="4" w:space="0" w:color="auto"/>
              <w:bottom w:val="single" w:sz="4" w:space="0" w:color="auto"/>
              <w:right w:val="single" w:sz="4" w:space="0" w:color="auto"/>
            </w:tcBorders>
            <w:shd w:val="clear" w:color="auto" w:fill="FECB7E"/>
            <w:tcMar>
              <w:top w:w="15" w:type="dxa"/>
              <w:left w:w="15" w:type="dxa"/>
              <w:bottom w:w="150" w:type="dxa"/>
              <w:right w:w="15" w:type="dxa"/>
            </w:tcMar>
            <w:vAlign w:val="center"/>
            <w:hideMark/>
          </w:tcPr>
          <w:p w14:paraId="2A19AE36" w14:textId="77777777" w:rsidR="001C0DBF" w:rsidRPr="001C0DBF" w:rsidRDefault="001C0DBF" w:rsidP="00ED789F">
            <w:pPr>
              <w:jc w:val="center"/>
              <w:rPr>
                <w:sz w:val="20"/>
                <w:szCs w:val="20"/>
              </w:rPr>
            </w:pPr>
            <w:r w:rsidRPr="001C0DBF">
              <w:rPr>
                <w:color w:val="000000"/>
                <w:sz w:val="20"/>
                <w:szCs w:val="20"/>
              </w:rPr>
              <w:t>0.12</w:t>
            </w:r>
          </w:p>
        </w:tc>
        <w:tc>
          <w:tcPr>
            <w:tcW w:w="945" w:type="dxa"/>
            <w:tcBorders>
              <w:top w:val="single" w:sz="4" w:space="0" w:color="auto"/>
              <w:left w:val="single" w:sz="4" w:space="0" w:color="auto"/>
              <w:bottom w:val="single" w:sz="4" w:space="0" w:color="auto"/>
              <w:right w:val="single" w:sz="4" w:space="0" w:color="auto"/>
            </w:tcBorders>
            <w:shd w:val="clear" w:color="auto" w:fill="E5E382"/>
            <w:tcMar>
              <w:top w:w="15" w:type="dxa"/>
              <w:left w:w="15" w:type="dxa"/>
              <w:bottom w:w="150" w:type="dxa"/>
              <w:right w:w="15" w:type="dxa"/>
            </w:tcMar>
            <w:vAlign w:val="center"/>
            <w:hideMark/>
          </w:tcPr>
          <w:p w14:paraId="363D24C2" w14:textId="77777777" w:rsidR="001C0DBF" w:rsidRPr="001C0DBF" w:rsidRDefault="001C0DBF" w:rsidP="00ED789F">
            <w:pPr>
              <w:jc w:val="center"/>
              <w:rPr>
                <w:sz w:val="20"/>
                <w:szCs w:val="20"/>
              </w:rPr>
            </w:pPr>
            <w:r w:rsidRPr="001C0DBF">
              <w:rPr>
                <w:color w:val="000000"/>
                <w:sz w:val="20"/>
                <w:szCs w:val="20"/>
              </w:rPr>
              <w:t>0.05</w:t>
            </w:r>
          </w:p>
        </w:tc>
        <w:tc>
          <w:tcPr>
            <w:tcW w:w="945" w:type="dxa"/>
            <w:tcBorders>
              <w:top w:val="single" w:sz="4" w:space="0" w:color="auto"/>
              <w:left w:val="single" w:sz="4" w:space="0" w:color="auto"/>
              <w:bottom w:val="single" w:sz="4" w:space="0" w:color="auto"/>
              <w:right w:val="single" w:sz="4" w:space="0" w:color="auto"/>
            </w:tcBorders>
            <w:shd w:val="clear" w:color="auto" w:fill="FDB57A"/>
            <w:tcMar>
              <w:top w:w="15" w:type="dxa"/>
              <w:left w:w="15" w:type="dxa"/>
              <w:bottom w:w="150" w:type="dxa"/>
              <w:right w:w="15" w:type="dxa"/>
            </w:tcMar>
            <w:vAlign w:val="center"/>
            <w:hideMark/>
          </w:tcPr>
          <w:p w14:paraId="62B809D4" w14:textId="77777777" w:rsidR="001C0DBF" w:rsidRPr="001C0DBF" w:rsidRDefault="001C0DBF" w:rsidP="00ED789F">
            <w:pPr>
              <w:jc w:val="center"/>
              <w:rPr>
                <w:sz w:val="20"/>
                <w:szCs w:val="20"/>
              </w:rPr>
            </w:pPr>
            <w:r w:rsidRPr="001C0DBF">
              <w:rPr>
                <w:color w:val="000000"/>
                <w:sz w:val="20"/>
                <w:szCs w:val="20"/>
              </w:rPr>
              <w:t>0.16</w:t>
            </w:r>
          </w:p>
        </w:tc>
        <w:tc>
          <w:tcPr>
            <w:tcW w:w="945" w:type="dxa"/>
            <w:tcBorders>
              <w:top w:val="single" w:sz="4" w:space="0" w:color="auto"/>
              <w:left w:val="single" w:sz="4" w:space="0" w:color="auto"/>
              <w:bottom w:val="single" w:sz="4" w:space="0" w:color="auto"/>
              <w:right w:val="single" w:sz="4" w:space="0" w:color="auto"/>
            </w:tcBorders>
            <w:shd w:val="clear" w:color="auto" w:fill="7DC57C"/>
            <w:tcMar>
              <w:top w:w="15" w:type="dxa"/>
              <w:left w:w="15" w:type="dxa"/>
              <w:bottom w:w="150" w:type="dxa"/>
              <w:right w:w="15" w:type="dxa"/>
            </w:tcMar>
            <w:vAlign w:val="center"/>
            <w:hideMark/>
          </w:tcPr>
          <w:p w14:paraId="495E04AC" w14:textId="77777777" w:rsidR="001C0DBF" w:rsidRPr="001C0DBF" w:rsidRDefault="001C0DBF" w:rsidP="00ED789F">
            <w:pPr>
              <w:jc w:val="center"/>
              <w:rPr>
                <w:sz w:val="20"/>
                <w:szCs w:val="20"/>
              </w:rPr>
            </w:pPr>
            <w:r w:rsidRPr="001C0DBF">
              <w:rPr>
                <w:color w:val="000000"/>
                <w:sz w:val="20"/>
                <w:szCs w:val="20"/>
              </w:rPr>
              <w:t>0.01</w:t>
            </w:r>
          </w:p>
        </w:tc>
        <w:tc>
          <w:tcPr>
            <w:tcW w:w="945" w:type="dxa"/>
            <w:tcBorders>
              <w:top w:val="single" w:sz="4" w:space="0" w:color="auto"/>
              <w:left w:val="single" w:sz="4" w:space="0" w:color="auto"/>
              <w:bottom w:val="single" w:sz="4" w:space="0" w:color="auto"/>
              <w:right w:val="single" w:sz="4" w:space="0" w:color="auto"/>
            </w:tcBorders>
            <w:shd w:val="clear" w:color="auto" w:fill="FCAA78"/>
            <w:tcMar>
              <w:top w:w="15" w:type="dxa"/>
              <w:left w:w="15" w:type="dxa"/>
              <w:bottom w:w="150" w:type="dxa"/>
              <w:right w:w="15" w:type="dxa"/>
            </w:tcMar>
            <w:vAlign w:val="center"/>
            <w:hideMark/>
          </w:tcPr>
          <w:p w14:paraId="36E62196" w14:textId="77777777" w:rsidR="001C0DBF" w:rsidRPr="001C0DBF" w:rsidRDefault="001C0DBF" w:rsidP="00ED789F">
            <w:pPr>
              <w:jc w:val="center"/>
              <w:rPr>
                <w:sz w:val="20"/>
                <w:szCs w:val="20"/>
              </w:rPr>
            </w:pPr>
            <w:r w:rsidRPr="001C0DBF">
              <w:rPr>
                <w:color w:val="000000"/>
                <w:sz w:val="20"/>
                <w:szCs w:val="20"/>
              </w:rPr>
              <w:t>0.18</w:t>
            </w:r>
          </w:p>
        </w:tc>
        <w:tc>
          <w:tcPr>
            <w:tcW w:w="946" w:type="dxa"/>
            <w:tcBorders>
              <w:top w:val="single" w:sz="4" w:space="0" w:color="auto"/>
              <w:left w:val="single" w:sz="4" w:space="0" w:color="auto"/>
              <w:bottom w:val="single" w:sz="4" w:space="0" w:color="auto"/>
            </w:tcBorders>
            <w:shd w:val="clear" w:color="auto" w:fill="E5E382"/>
            <w:tcMar>
              <w:top w:w="15" w:type="dxa"/>
              <w:left w:w="15" w:type="dxa"/>
              <w:bottom w:w="150" w:type="dxa"/>
              <w:right w:w="15" w:type="dxa"/>
            </w:tcMar>
            <w:vAlign w:val="center"/>
            <w:hideMark/>
          </w:tcPr>
          <w:p w14:paraId="35A34EEF" w14:textId="77777777" w:rsidR="001C0DBF" w:rsidRPr="001C0DBF" w:rsidRDefault="001C0DBF" w:rsidP="00ED789F">
            <w:pPr>
              <w:jc w:val="center"/>
              <w:rPr>
                <w:sz w:val="20"/>
                <w:szCs w:val="20"/>
              </w:rPr>
            </w:pPr>
            <w:r w:rsidRPr="001C0DBF">
              <w:rPr>
                <w:color w:val="000000"/>
                <w:sz w:val="20"/>
                <w:szCs w:val="20"/>
              </w:rPr>
              <w:t>0.05</w:t>
            </w:r>
          </w:p>
        </w:tc>
      </w:tr>
      <w:tr w:rsidR="001C0DBF" w:rsidRPr="001C0DBF" w14:paraId="09E035A8" w14:textId="77777777" w:rsidTr="00ED789F">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center"/>
            <w:hideMark/>
          </w:tcPr>
          <w:p w14:paraId="14B8ED1D" w14:textId="77777777" w:rsidR="001C0DBF" w:rsidRPr="001C0DBF" w:rsidRDefault="001C0DBF" w:rsidP="00ED789F">
            <w:pPr>
              <w:jc w:val="center"/>
              <w:rPr>
                <w:sz w:val="20"/>
                <w:szCs w:val="20"/>
              </w:rPr>
            </w:pPr>
            <w:r w:rsidRPr="001C0DBF">
              <w:rPr>
                <w:color w:val="000000"/>
                <w:sz w:val="20"/>
                <w:szCs w:val="20"/>
              </w:rPr>
              <w:t>Counts + MR</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156D33C6" w14:textId="77777777" w:rsidR="001C0DBF" w:rsidRPr="001C0DBF" w:rsidRDefault="001C0DBF" w:rsidP="00ED789F">
            <w:pPr>
              <w:jc w:val="center"/>
              <w:rPr>
                <w:sz w:val="20"/>
                <w:szCs w:val="20"/>
              </w:rPr>
            </w:pPr>
            <w:r w:rsidRPr="001C0DBF">
              <w:rPr>
                <w:color w:val="000000"/>
                <w:sz w:val="20"/>
                <w:szCs w:val="20"/>
              </w:rPr>
              <w:t>14</w:t>
            </w:r>
          </w:p>
        </w:tc>
        <w:tc>
          <w:tcPr>
            <w:tcW w:w="945" w:type="dxa"/>
            <w:tcBorders>
              <w:top w:val="single" w:sz="4" w:space="0" w:color="auto"/>
              <w:left w:val="single" w:sz="4" w:space="0" w:color="auto"/>
              <w:bottom w:val="single" w:sz="4" w:space="0" w:color="auto"/>
              <w:right w:val="single" w:sz="4" w:space="0" w:color="auto"/>
            </w:tcBorders>
            <w:shd w:val="clear" w:color="auto" w:fill="FB9A75"/>
            <w:tcMar>
              <w:top w:w="15" w:type="dxa"/>
              <w:left w:w="15" w:type="dxa"/>
              <w:bottom w:w="150" w:type="dxa"/>
              <w:right w:w="15" w:type="dxa"/>
            </w:tcMar>
            <w:vAlign w:val="center"/>
            <w:hideMark/>
          </w:tcPr>
          <w:p w14:paraId="1967FC4A" w14:textId="77777777" w:rsidR="001C0DBF" w:rsidRPr="001C0DBF" w:rsidRDefault="001C0DBF" w:rsidP="00ED789F">
            <w:pPr>
              <w:jc w:val="center"/>
              <w:rPr>
                <w:sz w:val="20"/>
                <w:szCs w:val="20"/>
              </w:rPr>
            </w:pPr>
            <w:r w:rsidRPr="001C0DBF">
              <w:rPr>
                <w:color w:val="000000"/>
                <w:sz w:val="20"/>
                <w:szCs w:val="20"/>
              </w:rPr>
              <w:t>0.21</w:t>
            </w:r>
          </w:p>
        </w:tc>
        <w:tc>
          <w:tcPr>
            <w:tcW w:w="945" w:type="dxa"/>
            <w:tcBorders>
              <w:top w:val="single" w:sz="4" w:space="0" w:color="auto"/>
              <w:left w:val="single" w:sz="4" w:space="0" w:color="auto"/>
              <w:bottom w:val="single" w:sz="4" w:space="0" w:color="auto"/>
              <w:right w:val="single" w:sz="4" w:space="0" w:color="auto"/>
            </w:tcBorders>
            <w:shd w:val="clear" w:color="auto" w:fill="FFEB84"/>
            <w:tcMar>
              <w:top w:w="15" w:type="dxa"/>
              <w:left w:w="15" w:type="dxa"/>
              <w:bottom w:w="150" w:type="dxa"/>
              <w:right w:w="15" w:type="dxa"/>
            </w:tcMar>
            <w:vAlign w:val="center"/>
            <w:hideMark/>
          </w:tcPr>
          <w:p w14:paraId="45464FB1" w14:textId="77777777" w:rsidR="001C0DBF" w:rsidRPr="001C0DBF" w:rsidRDefault="001C0DBF" w:rsidP="00ED789F">
            <w:pPr>
              <w:jc w:val="center"/>
              <w:rPr>
                <w:sz w:val="20"/>
                <w:szCs w:val="20"/>
              </w:rPr>
            </w:pPr>
            <w:r w:rsidRPr="001C0DBF">
              <w:rPr>
                <w:color w:val="000000"/>
                <w:sz w:val="20"/>
                <w:szCs w:val="20"/>
              </w:rPr>
              <w:t>0.06</w:t>
            </w:r>
          </w:p>
        </w:tc>
        <w:tc>
          <w:tcPr>
            <w:tcW w:w="9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bottom w:w="150" w:type="dxa"/>
              <w:right w:w="15" w:type="dxa"/>
            </w:tcMar>
            <w:vAlign w:val="center"/>
            <w:hideMark/>
          </w:tcPr>
          <w:p w14:paraId="356C049B" w14:textId="77777777" w:rsidR="001C0DBF" w:rsidRPr="001C0DBF" w:rsidRDefault="001C0DBF" w:rsidP="00ED789F">
            <w:pPr>
              <w:jc w:val="center"/>
              <w:rPr>
                <w:sz w:val="20"/>
                <w:szCs w:val="20"/>
              </w:rPr>
            </w:pPr>
            <w:r w:rsidRPr="001C0DBF">
              <w:rPr>
                <w:color w:val="000000"/>
                <w:sz w:val="20"/>
                <w:szCs w:val="20"/>
              </w:rPr>
              <w:t>0.3</w:t>
            </w:r>
          </w:p>
        </w:tc>
        <w:tc>
          <w:tcPr>
            <w:tcW w:w="945" w:type="dxa"/>
            <w:tcBorders>
              <w:top w:val="single" w:sz="4" w:space="0" w:color="auto"/>
              <w:left w:val="single" w:sz="4" w:space="0" w:color="auto"/>
              <w:bottom w:val="single" w:sz="4" w:space="0" w:color="auto"/>
              <w:right w:val="single" w:sz="4" w:space="0" w:color="auto"/>
            </w:tcBorders>
            <w:shd w:val="clear" w:color="auto" w:fill="97CD7E"/>
            <w:tcMar>
              <w:top w:w="15" w:type="dxa"/>
              <w:left w:w="15" w:type="dxa"/>
              <w:bottom w:w="150" w:type="dxa"/>
              <w:right w:w="15" w:type="dxa"/>
            </w:tcMar>
            <w:vAlign w:val="center"/>
            <w:hideMark/>
          </w:tcPr>
          <w:p w14:paraId="0BF976D8" w14:textId="77777777" w:rsidR="001C0DBF" w:rsidRPr="001C0DBF" w:rsidRDefault="001C0DBF" w:rsidP="00ED789F">
            <w:pPr>
              <w:jc w:val="center"/>
              <w:rPr>
                <w:sz w:val="20"/>
                <w:szCs w:val="20"/>
              </w:rPr>
            </w:pPr>
            <w:r w:rsidRPr="001C0DBF">
              <w:rPr>
                <w:color w:val="000000"/>
                <w:sz w:val="20"/>
                <w:szCs w:val="20"/>
              </w:rPr>
              <w:t>0.02</w:t>
            </w:r>
          </w:p>
        </w:tc>
        <w:tc>
          <w:tcPr>
            <w:tcW w:w="945" w:type="dxa"/>
            <w:tcBorders>
              <w:top w:val="single" w:sz="4" w:space="0" w:color="auto"/>
              <w:left w:val="single" w:sz="4" w:space="0" w:color="auto"/>
              <w:bottom w:val="single" w:sz="4" w:space="0" w:color="auto"/>
              <w:right w:val="single" w:sz="4" w:space="0" w:color="auto"/>
            </w:tcBorders>
            <w:shd w:val="clear" w:color="auto" w:fill="FDBB7B"/>
            <w:tcMar>
              <w:top w:w="15" w:type="dxa"/>
              <w:left w:w="15" w:type="dxa"/>
              <w:bottom w:w="150" w:type="dxa"/>
              <w:right w:w="15" w:type="dxa"/>
            </w:tcMar>
            <w:vAlign w:val="center"/>
            <w:hideMark/>
          </w:tcPr>
          <w:p w14:paraId="7C50E959" w14:textId="77777777" w:rsidR="001C0DBF" w:rsidRPr="001C0DBF" w:rsidRDefault="001C0DBF" w:rsidP="00ED789F">
            <w:pPr>
              <w:jc w:val="center"/>
              <w:rPr>
                <w:sz w:val="20"/>
                <w:szCs w:val="20"/>
              </w:rPr>
            </w:pPr>
            <w:r w:rsidRPr="001C0DBF">
              <w:rPr>
                <w:color w:val="000000"/>
                <w:sz w:val="20"/>
                <w:szCs w:val="20"/>
              </w:rPr>
              <w:t>0.15</w:t>
            </w:r>
          </w:p>
        </w:tc>
        <w:tc>
          <w:tcPr>
            <w:tcW w:w="946" w:type="dxa"/>
            <w:tcBorders>
              <w:top w:val="single" w:sz="4" w:space="0" w:color="auto"/>
              <w:left w:val="single" w:sz="4" w:space="0" w:color="auto"/>
              <w:bottom w:val="single" w:sz="4" w:space="0" w:color="auto"/>
            </w:tcBorders>
            <w:shd w:val="clear" w:color="auto" w:fill="E5E382"/>
            <w:tcMar>
              <w:top w:w="15" w:type="dxa"/>
              <w:left w:w="15" w:type="dxa"/>
              <w:bottom w:w="150" w:type="dxa"/>
              <w:right w:w="15" w:type="dxa"/>
            </w:tcMar>
            <w:vAlign w:val="center"/>
            <w:hideMark/>
          </w:tcPr>
          <w:p w14:paraId="4714F3F7" w14:textId="77777777" w:rsidR="001C0DBF" w:rsidRPr="001C0DBF" w:rsidRDefault="001C0DBF" w:rsidP="00ED789F">
            <w:pPr>
              <w:jc w:val="center"/>
              <w:rPr>
                <w:sz w:val="20"/>
                <w:szCs w:val="20"/>
              </w:rPr>
            </w:pPr>
            <w:r w:rsidRPr="001C0DBF">
              <w:rPr>
                <w:color w:val="000000"/>
                <w:sz w:val="20"/>
                <w:szCs w:val="20"/>
              </w:rPr>
              <w:t>0.05</w:t>
            </w:r>
          </w:p>
        </w:tc>
      </w:tr>
      <w:tr w:rsidR="001C0DBF" w:rsidRPr="001C0DBF" w14:paraId="39906950" w14:textId="77777777" w:rsidTr="00ED789F">
        <w:trPr>
          <w:cantSplit/>
          <w:trHeight w:val="144"/>
          <w:jc w:val="center"/>
        </w:trPr>
        <w:tc>
          <w:tcPr>
            <w:tcW w:w="2054" w:type="dxa"/>
            <w:tcBorders>
              <w:top w:val="single" w:sz="4" w:space="0" w:color="auto"/>
              <w:bottom w:val="single" w:sz="4" w:space="0" w:color="auto"/>
              <w:right w:val="single" w:sz="4" w:space="0" w:color="auto"/>
            </w:tcBorders>
            <w:tcMar>
              <w:top w:w="15" w:type="dxa"/>
              <w:left w:w="15" w:type="dxa"/>
              <w:bottom w:w="150" w:type="dxa"/>
              <w:right w:w="15" w:type="dxa"/>
            </w:tcMar>
            <w:vAlign w:val="center"/>
            <w:hideMark/>
          </w:tcPr>
          <w:p w14:paraId="79772939" w14:textId="77777777" w:rsidR="001C0DBF" w:rsidRPr="001C0DBF" w:rsidRDefault="001C0DBF" w:rsidP="00ED789F">
            <w:pPr>
              <w:jc w:val="center"/>
              <w:rPr>
                <w:sz w:val="20"/>
                <w:szCs w:val="20"/>
              </w:rPr>
            </w:pPr>
            <w:r w:rsidRPr="001C0DBF">
              <w:rPr>
                <w:color w:val="000000"/>
                <w:sz w:val="20"/>
                <w:szCs w:val="20"/>
              </w:rPr>
              <w:t>Counts + MR</w:t>
            </w: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150" w:type="dxa"/>
              <w:right w:w="15" w:type="dxa"/>
            </w:tcMar>
            <w:vAlign w:val="center"/>
            <w:hideMark/>
          </w:tcPr>
          <w:p w14:paraId="6B755C93" w14:textId="77777777" w:rsidR="001C0DBF" w:rsidRPr="001C0DBF" w:rsidRDefault="001C0DBF" w:rsidP="00ED789F">
            <w:pPr>
              <w:jc w:val="center"/>
              <w:rPr>
                <w:sz w:val="20"/>
                <w:szCs w:val="20"/>
              </w:rPr>
            </w:pPr>
            <w:r w:rsidRPr="001C0DBF">
              <w:rPr>
                <w:color w:val="000000"/>
                <w:sz w:val="20"/>
                <w:szCs w:val="20"/>
              </w:rPr>
              <w:t>15</w:t>
            </w:r>
          </w:p>
        </w:tc>
        <w:tc>
          <w:tcPr>
            <w:tcW w:w="945" w:type="dxa"/>
            <w:tcBorders>
              <w:top w:val="single" w:sz="4" w:space="0" w:color="auto"/>
              <w:left w:val="single" w:sz="4" w:space="0" w:color="auto"/>
              <w:bottom w:val="single" w:sz="4" w:space="0" w:color="auto"/>
              <w:right w:val="single" w:sz="4" w:space="0" w:color="auto"/>
            </w:tcBorders>
            <w:shd w:val="clear" w:color="auto" w:fill="FBA076"/>
            <w:tcMar>
              <w:top w:w="15" w:type="dxa"/>
              <w:left w:w="15" w:type="dxa"/>
              <w:bottom w:w="150" w:type="dxa"/>
              <w:right w:w="15" w:type="dxa"/>
            </w:tcMar>
            <w:vAlign w:val="center"/>
            <w:hideMark/>
          </w:tcPr>
          <w:p w14:paraId="106D70C3" w14:textId="77777777" w:rsidR="001C0DBF" w:rsidRPr="001C0DBF" w:rsidRDefault="001C0DBF" w:rsidP="00ED789F">
            <w:pPr>
              <w:jc w:val="center"/>
              <w:rPr>
                <w:sz w:val="20"/>
                <w:szCs w:val="20"/>
              </w:rPr>
            </w:pPr>
            <w:r w:rsidRPr="001C0DBF">
              <w:rPr>
                <w:color w:val="000000"/>
                <w:sz w:val="20"/>
                <w:szCs w:val="20"/>
              </w:rPr>
              <w:t>0.2</w:t>
            </w:r>
          </w:p>
        </w:tc>
        <w:tc>
          <w:tcPr>
            <w:tcW w:w="945" w:type="dxa"/>
            <w:tcBorders>
              <w:top w:val="single" w:sz="4" w:space="0" w:color="auto"/>
              <w:left w:val="single" w:sz="4" w:space="0" w:color="auto"/>
              <w:bottom w:val="single" w:sz="4" w:space="0" w:color="auto"/>
              <w:right w:val="single" w:sz="4" w:space="0" w:color="auto"/>
            </w:tcBorders>
            <w:shd w:val="clear" w:color="auto" w:fill="CBDC81"/>
            <w:tcMar>
              <w:top w:w="15" w:type="dxa"/>
              <w:left w:w="15" w:type="dxa"/>
              <w:bottom w:w="150" w:type="dxa"/>
              <w:right w:w="15" w:type="dxa"/>
            </w:tcMar>
            <w:vAlign w:val="center"/>
            <w:hideMark/>
          </w:tcPr>
          <w:p w14:paraId="518B97F8" w14:textId="77777777" w:rsidR="001C0DBF" w:rsidRPr="001C0DBF" w:rsidRDefault="001C0DBF" w:rsidP="00ED789F">
            <w:pPr>
              <w:jc w:val="center"/>
              <w:rPr>
                <w:sz w:val="20"/>
                <w:szCs w:val="20"/>
              </w:rPr>
            </w:pPr>
            <w:r w:rsidRPr="001C0DBF">
              <w:rPr>
                <w:color w:val="000000"/>
                <w:sz w:val="20"/>
                <w:szCs w:val="20"/>
              </w:rPr>
              <w:t>0.04</w:t>
            </w:r>
          </w:p>
        </w:tc>
        <w:tc>
          <w:tcPr>
            <w:tcW w:w="945" w:type="dxa"/>
            <w:tcBorders>
              <w:top w:val="single" w:sz="4" w:space="0" w:color="auto"/>
              <w:left w:val="single" w:sz="4" w:space="0" w:color="auto"/>
              <w:bottom w:val="single" w:sz="4" w:space="0" w:color="auto"/>
              <w:right w:val="single" w:sz="4" w:space="0" w:color="auto"/>
            </w:tcBorders>
            <w:shd w:val="clear" w:color="auto" w:fill="FA8A72"/>
            <w:tcMar>
              <w:top w:w="15" w:type="dxa"/>
              <w:left w:w="15" w:type="dxa"/>
              <w:bottom w:w="150" w:type="dxa"/>
              <w:right w:w="15" w:type="dxa"/>
            </w:tcMar>
            <w:vAlign w:val="center"/>
            <w:hideMark/>
          </w:tcPr>
          <w:p w14:paraId="7351E899" w14:textId="77777777" w:rsidR="001C0DBF" w:rsidRPr="001C0DBF" w:rsidRDefault="001C0DBF" w:rsidP="00ED789F">
            <w:pPr>
              <w:jc w:val="center"/>
              <w:rPr>
                <w:sz w:val="20"/>
                <w:szCs w:val="20"/>
              </w:rPr>
            </w:pPr>
            <w:r w:rsidRPr="001C0DBF">
              <w:rPr>
                <w:color w:val="000000"/>
                <w:sz w:val="20"/>
                <w:szCs w:val="20"/>
              </w:rPr>
              <w:t>0.24</w:t>
            </w:r>
          </w:p>
        </w:tc>
        <w:tc>
          <w:tcPr>
            <w:tcW w:w="945" w:type="dxa"/>
            <w:tcBorders>
              <w:top w:val="single" w:sz="4" w:space="0" w:color="auto"/>
              <w:left w:val="single" w:sz="4" w:space="0" w:color="auto"/>
              <w:bottom w:val="single" w:sz="4" w:space="0" w:color="auto"/>
              <w:right w:val="single" w:sz="4" w:space="0" w:color="auto"/>
            </w:tcBorders>
            <w:shd w:val="clear" w:color="auto" w:fill="97CD7E"/>
            <w:tcMar>
              <w:top w:w="15" w:type="dxa"/>
              <w:left w:w="15" w:type="dxa"/>
              <w:bottom w:w="150" w:type="dxa"/>
              <w:right w:w="15" w:type="dxa"/>
            </w:tcMar>
            <w:vAlign w:val="center"/>
            <w:hideMark/>
          </w:tcPr>
          <w:p w14:paraId="285517D1" w14:textId="77777777" w:rsidR="001C0DBF" w:rsidRPr="001C0DBF" w:rsidRDefault="001C0DBF" w:rsidP="00ED789F">
            <w:pPr>
              <w:jc w:val="center"/>
              <w:rPr>
                <w:sz w:val="20"/>
                <w:szCs w:val="20"/>
              </w:rPr>
            </w:pPr>
            <w:r w:rsidRPr="001C0DBF">
              <w:rPr>
                <w:color w:val="000000"/>
                <w:sz w:val="20"/>
                <w:szCs w:val="20"/>
              </w:rPr>
              <w:t>0.02</w:t>
            </w:r>
          </w:p>
        </w:tc>
        <w:tc>
          <w:tcPr>
            <w:tcW w:w="945" w:type="dxa"/>
            <w:tcBorders>
              <w:top w:val="single" w:sz="4" w:space="0" w:color="auto"/>
              <w:left w:val="single" w:sz="4" w:space="0" w:color="auto"/>
              <w:bottom w:val="single" w:sz="4" w:space="0" w:color="auto"/>
              <w:right w:val="single" w:sz="4" w:space="0" w:color="auto"/>
            </w:tcBorders>
            <w:shd w:val="clear" w:color="auto" w:fill="FB8F73"/>
            <w:tcMar>
              <w:top w:w="15" w:type="dxa"/>
              <w:left w:w="15" w:type="dxa"/>
              <w:bottom w:w="150" w:type="dxa"/>
              <w:right w:w="15" w:type="dxa"/>
            </w:tcMar>
            <w:vAlign w:val="center"/>
            <w:hideMark/>
          </w:tcPr>
          <w:p w14:paraId="637F657F" w14:textId="77777777" w:rsidR="001C0DBF" w:rsidRPr="001C0DBF" w:rsidRDefault="001C0DBF" w:rsidP="00ED789F">
            <w:pPr>
              <w:jc w:val="center"/>
              <w:rPr>
                <w:sz w:val="20"/>
                <w:szCs w:val="20"/>
              </w:rPr>
            </w:pPr>
            <w:r w:rsidRPr="001C0DBF">
              <w:rPr>
                <w:color w:val="000000"/>
                <w:sz w:val="20"/>
                <w:szCs w:val="20"/>
              </w:rPr>
              <w:t>0.23</w:t>
            </w:r>
          </w:p>
        </w:tc>
        <w:tc>
          <w:tcPr>
            <w:tcW w:w="946" w:type="dxa"/>
            <w:tcBorders>
              <w:top w:val="single" w:sz="4" w:space="0" w:color="auto"/>
              <w:left w:val="single" w:sz="4" w:space="0" w:color="auto"/>
              <w:bottom w:val="single" w:sz="4" w:space="0" w:color="auto"/>
            </w:tcBorders>
            <w:shd w:val="clear" w:color="auto" w:fill="E5E382"/>
            <w:tcMar>
              <w:top w:w="15" w:type="dxa"/>
              <w:left w:w="15" w:type="dxa"/>
              <w:bottom w:w="150" w:type="dxa"/>
              <w:right w:w="15" w:type="dxa"/>
            </w:tcMar>
            <w:vAlign w:val="center"/>
            <w:hideMark/>
          </w:tcPr>
          <w:p w14:paraId="2965984C" w14:textId="77777777" w:rsidR="001C0DBF" w:rsidRPr="001C0DBF" w:rsidRDefault="001C0DBF" w:rsidP="00ED789F">
            <w:pPr>
              <w:keepNext/>
              <w:jc w:val="center"/>
              <w:rPr>
                <w:sz w:val="20"/>
                <w:szCs w:val="20"/>
              </w:rPr>
            </w:pPr>
            <w:r w:rsidRPr="001C0DBF">
              <w:rPr>
                <w:color w:val="000000"/>
                <w:sz w:val="20"/>
                <w:szCs w:val="20"/>
              </w:rPr>
              <w:t>0.05</w:t>
            </w:r>
          </w:p>
        </w:tc>
      </w:tr>
    </w:tbl>
    <w:p w14:paraId="7424E366" w14:textId="77777777" w:rsidR="001C0DBF" w:rsidRDefault="001C0DBF" w:rsidP="001C0DBF">
      <w:pPr>
        <w:pStyle w:val="Caption"/>
        <w:jc w:val="center"/>
      </w:pPr>
      <w:r>
        <w:t xml:space="preserve">Table </w:t>
      </w:r>
      <w:r w:rsidR="006F6366">
        <w:fldChar w:fldCharType="begin"/>
      </w:r>
      <w:r w:rsidR="006F6366">
        <w:instrText xml:space="preserve"> SEQ Table \* ARABIC </w:instrText>
      </w:r>
      <w:r w:rsidR="006F6366">
        <w:fldChar w:fldCharType="separate"/>
      </w:r>
      <w:r>
        <w:rPr>
          <w:noProof/>
        </w:rPr>
        <w:t>2</w:t>
      </w:r>
      <w:r w:rsidR="006F6366">
        <w:rPr>
          <w:noProof/>
        </w:rPr>
        <w:fldChar w:fldCharType="end"/>
      </w:r>
      <w:r>
        <w:t>: Root mean squared error (RMSE) for parameter estimates. Greener colors indicate lower error, redder colors indicate</w:t>
      </w:r>
      <w:r>
        <w:rPr>
          <w:noProof/>
        </w:rPr>
        <w:t xml:space="preserve"> higher error.</w:t>
      </w:r>
    </w:p>
    <w:p w14:paraId="4634A8E1" w14:textId="77777777" w:rsidR="00201B0D" w:rsidRDefault="00201B0D" w:rsidP="00201B0D">
      <w:pPr>
        <w:pStyle w:val="Compact"/>
      </w:pPr>
    </w:p>
    <w:p w14:paraId="6D3F9E12" w14:textId="77777777" w:rsidR="001733DF" w:rsidRDefault="00D06E78" w:rsidP="001733DF">
      <w:pPr>
        <w:pStyle w:val="FirstParagraph"/>
        <w:spacing w:after="0"/>
      </w:pPr>
      <w:r>
        <w:rPr>
          <w:i/>
        </w:rPr>
        <w:t>Full model</w:t>
      </w:r>
      <w:r>
        <w:t xml:space="preserve"> </w:t>
      </w:r>
      <w:r w:rsidR="001733DF">
        <w:t xml:space="preserve"> </w:t>
      </w:r>
    </w:p>
    <w:p w14:paraId="3CA00CAE" w14:textId="5035A33A" w:rsidR="002E5437" w:rsidRDefault="00D06E78" w:rsidP="001733DF">
      <w:pPr>
        <w:pStyle w:val="FirstParagraph"/>
        <w:spacing w:before="0"/>
      </w:pPr>
      <w:r>
        <w:t xml:space="preserve">Fitting the ‘full’ IPM model, including all simulated data types (counts, productivity, and mark-resight), generally produced parameter estimates close to the true value. The median model parameter estimates for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ϕ</m:t>
            </m:r>
          </m:e>
          <m:sub>
            <m:r>
              <w:rPr>
                <w:rFonts w:ascii="Cambria Math" w:hAnsi="Cambria Math"/>
              </w:rPr>
              <m:t>ad</m:t>
            </m:r>
          </m:sub>
        </m:sSub>
      </m:oMath>
      <w:r>
        <w:t xml:space="preserve">, </w:t>
      </w:r>
      <m:oMath>
        <m:r>
          <w:rPr>
            <w:rFonts w:ascii="Cambria Math" w:hAnsi="Cambria Math"/>
          </w:rPr>
          <m:t>f</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n</m:t>
            </m:r>
          </m:sub>
        </m:sSub>
      </m:oMath>
      <w:r>
        <w:t>,</w:t>
      </w:r>
      <w:r w:rsidR="00BC4FAB">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xml:space="preserve"> across the 25 simulated data sets and under scenarios </w:t>
      </w:r>
      <w:r w:rsidR="00A92225">
        <w:t xml:space="preserve">1 – 5 </w:t>
      </w:r>
      <w:r>
        <w:t xml:space="preserve">resulted in estimates where the true parameter values </w:t>
      </w:r>
      <w:r w:rsidR="005C5858">
        <w:t xml:space="preserve">were </w:t>
      </w:r>
      <w:r>
        <w:t xml:space="preserve">contained within </w:t>
      </w:r>
      <m:oMath>
        <m:r>
          <w:rPr>
            <w:rFonts w:ascii="Cambria Math" w:hAnsi="Cambria Math"/>
          </w:rPr>
          <m:t>50</m:t>
        </m:r>
      </m:oMath>
      <w:r>
        <w:t xml:space="preserve"> of the estimates. The model parameter estimates for the survey detection probability,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were returned under scenarios where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was </w:t>
      </w:r>
      <m:oMath>
        <m:r>
          <w:rPr>
            <w:rFonts w:ascii="Cambria Math" w:hAnsi="Cambria Math"/>
          </w:rPr>
          <m:t>0.85</m:t>
        </m:r>
      </m:oMath>
      <w:r>
        <w:t xml:space="preserve"> (i.e.</w:t>
      </w:r>
      <w:r w:rsidR="00A92225">
        <w:t>,</w:t>
      </w:r>
      <w:r>
        <w:t> scenarios 1 and 2), but with greater uncertainty in the model estimates for scenarios 3,</w:t>
      </w:r>
      <w:r w:rsidR="00116F30">
        <w:t xml:space="preserve"> </w:t>
      </w:r>
      <w:r>
        <w:t>4,</w:t>
      </w:r>
      <w:r w:rsidR="00116F30">
        <w:t xml:space="preserve"> </w:t>
      </w:r>
      <w:r>
        <w:t xml:space="preserve">5 where the true value of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was </w:t>
      </w:r>
      <m:oMath>
        <m:r>
          <w:rPr>
            <w:rFonts w:ascii="Cambria Math" w:hAnsi="Cambria Math"/>
          </w:rPr>
          <m:t>0.3</m:t>
        </m:r>
      </m:oMath>
      <w:r>
        <w:t xml:space="preserve"> or </w:t>
      </w:r>
      <m:oMath>
        <m:r>
          <w:rPr>
            <w:rFonts w:ascii="Cambria Math" w:hAnsi="Cambria Math"/>
          </w:rPr>
          <m:t>0.5</m:t>
        </m:r>
      </m:oMath>
      <w:r>
        <w:t xml:space="preserve"> (Figure 4). Relative bias under scenarios </w:t>
      </w:r>
      <m:oMath>
        <m:r>
          <w:rPr>
            <w:rFonts w:ascii="Cambria Math" w:hAnsi="Cambria Math"/>
          </w:rPr>
          <m:t>1-5</m:t>
        </m:r>
      </m:oMath>
      <w:r>
        <w:t xml:space="preserve"> was generally low (less than </w:t>
      </w:r>
      <m:oMath>
        <m:r>
          <w:rPr>
            <w:rFonts w:ascii="Cambria Math" w:hAnsi="Cambria Math"/>
          </w:rPr>
          <m:t>|0.1|</m:t>
        </m:r>
      </m:oMath>
      <w:r>
        <w:t>), with the ex</w:t>
      </w:r>
      <w:r w:rsidR="005C5858">
        <w:t>c</w:t>
      </w:r>
      <w:r>
        <w:t>e</w:t>
      </w:r>
      <w:r w:rsidR="005C5858">
        <w:t>p</w:t>
      </w:r>
      <w:r>
        <w:t xml:space="preserve">tion of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C7660B">
        <w:t>,</w:t>
      </w:r>
      <w:r>
        <w:t xml:space="preserve"> with high bias resulting in the low detection scenarios 3,</w:t>
      </w:r>
      <w:r w:rsidR="00116F30">
        <w:t xml:space="preserve"> </w:t>
      </w:r>
      <w:r>
        <w:t>4,</w:t>
      </w:r>
      <w:r w:rsidR="00116F30">
        <w:t xml:space="preserve"> </w:t>
      </w:r>
      <w:r>
        <w:t xml:space="preserve">5 where the model was not able to recover this parameter (Figure 5). RMSE for the full model was also generally low (less than </w:t>
      </w:r>
      <m:oMath>
        <m:r>
          <w:rPr>
            <w:rFonts w:ascii="Cambria Math" w:hAnsi="Cambria Math"/>
          </w:rPr>
          <m:t>|0.1|</m:t>
        </m:r>
      </m:oMath>
      <w:r>
        <w:t xml:space="preserve">), with the exception of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The RMSE for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was high for scenario 3</w:t>
      </w:r>
      <w:r w:rsidR="00A92225">
        <w:t xml:space="preserve"> and the</w:t>
      </w:r>
      <w:r>
        <w:t xml:space="preserve"> RMSE for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was high for scenarios 3,</w:t>
      </w:r>
      <w:r w:rsidR="00116F30">
        <w:t xml:space="preserve"> </w:t>
      </w:r>
      <w:r>
        <w:t>4,</w:t>
      </w:r>
      <w:r w:rsidR="00116F30">
        <w:t xml:space="preserve"> </w:t>
      </w:r>
      <w:r>
        <w:t xml:space="preserve">5 (Table </w:t>
      </w:r>
      <w:r w:rsidR="0076362D">
        <w:t>2</w:t>
      </w:r>
      <w:r>
        <w:t>).</w:t>
      </w:r>
    </w:p>
    <w:p w14:paraId="631337AA" w14:textId="77777777" w:rsidR="001733DF" w:rsidRDefault="00D06E78" w:rsidP="001733DF">
      <w:pPr>
        <w:pStyle w:val="BodyText"/>
        <w:spacing w:after="0"/>
      </w:pPr>
      <w:r>
        <w:rPr>
          <w:i/>
        </w:rPr>
        <w:t>Counts + Productivity</w:t>
      </w:r>
      <w:r>
        <w:t xml:space="preserve"> </w:t>
      </w:r>
    </w:p>
    <w:p w14:paraId="734B6765" w14:textId="6351DCB2" w:rsidR="002E5437" w:rsidRDefault="00D06E78" w:rsidP="001733DF">
      <w:pPr>
        <w:pStyle w:val="BodyText"/>
        <w:spacing w:before="0"/>
      </w:pPr>
      <w:r>
        <w:t xml:space="preserve">The IPM fit with data only from count and productivity datasets (excluding mark-resight) provided median estimates of </w:t>
      </w:r>
      <m:oMath>
        <m:sSub>
          <m:sSubPr>
            <m:ctrlPr>
              <w:rPr>
                <w:rFonts w:ascii="Cambria Math" w:hAnsi="Cambria Math"/>
              </w:rPr>
            </m:ctrlPr>
          </m:sSubPr>
          <m:e>
            <m:r>
              <w:rPr>
                <w:rFonts w:ascii="Cambria Math" w:hAnsi="Cambria Math"/>
              </w:rPr>
              <m:t>ϕ</m:t>
            </m:r>
          </m:e>
          <m:sub>
            <m:r>
              <w:rPr>
                <w:rFonts w:ascii="Cambria Math" w:hAnsi="Cambria Math"/>
              </w:rPr>
              <m:t>n</m:t>
            </m:r>
          </m:sub>
        </m:sSub>
      </m:oMath>
      <w:r>
        <w:t xml:space="preserve"> and </w:t>
      </w:r>
      <m:oMath>
        <m:r>
          <w:rPr>
            <w:rFonts w:ascii="Cambria Math" w:hAnsi="Cambria Math"/>
          </w:rPr>
          <m:t>f</m:t>
        </m:r>
      </m:oMath>
      <w:r>
        <w:t xml:space="preserve"> that were close to truth under all scenarios (6-10). The median estimates for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ad</m:t>
            </m:r>
          </m:sub>
        </m:sSub>
      </m:oMath>
      <w:r>
        <w:t xml:space="preserve"> showed high variation in the model estimates for all scenarios and </w:t>
      </w:r>
      <w:r w:rsidR="00C7660B">
        <w:t xml:space="preserve">were </w:t>
      </w:r>
      <w:r>
        <w:t>unable to capture the true parameter values for scenarios 9 and 10 for both parameters. The survey detection probability estimates for scenarios 6,</w:t>
      </w:r>
      <w:r w:rsidR="00116F30">
        <w:t xml:space="preserve"> </w:t>
      </w:r>
      <w:r>
        <w:t>7,</w:t>
      </w:r>
      <w:r w:rsidR="00C7660B">
        <w:t xml:space="preserve"> </w:t>
      </w:r>
      <w:r>
        <w:t>and 10 resulted in medians covering the true parameter estimates, but under scenarios 8 and 9</w:t>
      </w:r>
      <w:r w:rsidR="00C7660B">
        <w:t>,</w:t>
      </w:r>
      <w:r>
        <w:t xml:space="preserve"> the model estimates over and underestimated the true parameter value, respectively (Figure 4). The relative bias for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under scenarios 7,</w:t>
      </w:r>
      <w:r w:rsidR="00C7660B">
        <w:t xml:space="preserve"> </w:t>
      </w:r>
      <w:r>
        <w:t>9,</w:t>
      </w:r>
      <w:r w:rsidR="00C7660B">
        <w:t xml:space="preserve"> </w:t>
      </w:r>
      <w:r>
        <w:t xml:space="preserve">and 10 was high (greater than </w:t>
      </w:r>
      <m:oMath>
        <m:r>
          <w:rPr>
            <w:rFonts w:ascii="Cambria Math" w:hAnsi="Cambria Math"/>
          </w:rPr>
          <m:t>|0.1|</m:t>
        </m:r>
      </m:oMath>
      <w:r>
        <w:t xml:space="preserve">), the relative bias for </w:t>
      </w:r>
      <m:oMath>
        <m:sSub>
          <m:sSubPr>
            <m:ctrlPr>
              <w:rPr>
                <w:rFonts w:ascii="Cambria Math" w:hAnsi="Cambria Math"/>
              </w:rPr>
            </m:ctrlPr>
          </m:sSubPr>
          <m:e>
            <m:r>
              <w:rPr>
                <w:rFonts w:ascii="Cambria Math" w:hAnsi="Cambria Math"/>
              </w:rPr>
              <m:t>ϕ</m:t>
            </m:r>
          </m:e>
          <m:sub>
            <m:r>
              <w:rPr>
                <w:rFonts w:ascii="Cambria Math" w:hAnsi="Cambria Math"/>
              </w:rPr>
              <m:t>ad</m:t>
            </m:r>
          </m:sub>
        </m:sSub>
      </m:oMath>
      <w:r w:rsidR="00A92225">
        <w:t xml:space="preserve"> </w:t>
      </w:r>
      <w:r>
        <w:t xml:space="preserve">under scenario 9 was also high. The relative bias for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was high under scenarios 8 and 9 (Figure 5). The RMSE for </w:t>
      </w:r>
      <m:oMath>
        <m:sSub>
          <m:sSubPr>
            <m:ctrlPr>
              <w:rPr>
                <w:rFonts w:ascii="Cambria Math" w:hAnsi="Cambria Math"/>
              </w:rPr>
            </m:ctrlPr>
          </m:sSubPr>
          <m:e>
            <m:r>
              <w:rPr>
                <w:rFonts w:ascii="Cambria Math" w:hAnsi="Cambria Math"/>
              </w:rPr>
              <m:t>ϕ</m:t>
            </m:r>
          </m:e>
          <m:sub>
            <m:r>
              <w:rPr>
                <w:rFonts w:ascii="Cambria Math" w:hAnsi="Cambria Math"/>
              </w:rPr>
              <m:t>n</m:t>
            </m:r>
          </m:sub>
        </m:sSub>
      </m:oMath>
      <w:r>
        <w:t xml:space="preserve"> and </w:t>
      </w:r>
      <m:oMath>
        <m:r>
          <w:rPr>
            <w:rFonts w:ascii="Cambria Math" w:hAnsi="Cambria Math"/>
          </w:rPr>
          <m:t>f</m:t>
        </m:r>
      </m:oMath>
      <w:r>
        <w:t xml:space="preserve"> under scenarios 6-10 was close to 0. The RMSE for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was high (greater than 0.1) for all scenarios (6-10), the RMSE for </w:t>
      </w:r>
      <m:oMath>
        <m:sSub>
          <m:sSubPr>
            <m:ctrlPr>
              <w:rPr>
                <w:rFonts w:ascii="Cambria Math" w:hAnsi="Cambria Math"/>
              </w:rPr>
            </m:ctrlPr>
          </m:sSubPr>
          <m:e>
            <m:r>
              <w:rPr>
                <w:rFonts w:ascii="Cambria Math" w:hAnsi="Cambria Math"/>
              </w:rPr>
              <m:t>ϕ</m:t>
            </m:r>
          </m:e>
          <m:sub>
            <m:r>
              <w:rPr>
                <w:rFonts w:ascii="Cambria Math" w:hAnsi="Cambria Math"/>
              </w:rPr>
              <m:t>ad</m:t>
            </m:r>
          </m:sub>
        </m:sSub>
      </m:oMath>
      <w:r>
        <w:t xml:space="preserve"> was high for scenarios 6,</w:t>
      </w:r>
      <w:r w:rsidR="00C7660B">
        <w:t xml:space="preserve"> </w:t>
      </w:r>
      <w:r>
        <w:t>7,</w:t>
      </w:r>
      <w:r w:rsidR="00C7660B">
        <w:t xml:space="preserve"> </w:t>
      </w:r>
      <w:r>
        <w:t>9,</w:t>
      </w:r>
      <w:r w:rsidR="00116F30">
        <w:t xml:space="preserve"> </w:t>
      </w:r>
      <w:r>
        <w:t xml:space="preserve">and 10. The RMSE for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was high for scenarios 8,</w:t>
      </w:r>
      <w:r w:rsidR="00116F30">
        <w:t xml:space="preserve"> </w:t>
      </w:r>
      <w:r>
        <w:t>9,</w:t>
      </w:r>
      <w:r w:rsidR="00116F30">
        <w:t xml:space="preserve"> </w:t>
      </w:r>
      <w:r>
        <w:t xml:space="preserve">and 10 (Table </w:t>
      </w:r>
      <w:r w:rsidR="0076362D">
        <w:t>2</w:t>
      </w:r>
      <w:r>
        <w:t>).</w:t>
      </w:r>
      <w:r w:rsidR="00966C2E">
        <w:t xml:space="preserve"> </w:t>
      </w:r>
    </w:p>
    <w:p w14:paraId="2ECA8A73" w14:textId="77777777" w:rsidR="001733DF" w:rsidRDefault="00D06E78" w:rsidP="001733DF">
      <w:pPr>
        <w:pStyle w:val="BodyText"/>
        <w:spacing w:after="0"/>
      </w:pPr>
      <w:r>
        <w:rPr>
          <w:i/>
        </w:rPr>
        <w:t>Counts + Mark-resight</w:t>
      </w:r>
      <w:r>
        <w:t xml:space="preserve"> </w:t>
      </w:r>
    </w:p>
    <w:p w14:paraId="2B2E21E4" w14:textId="77777777" w:rsidR="002E5437" w:rsidRDefault="00D06E78" w:rsidP="001733DF">
      <w:pPr>
        <w:pStyle w:val="BodyText"/>
        <w:spacing w:before="0"/>
      </w:pPr>
      <w:r>
        <w:t xml:space="preserve">The IPM fit with data only from count and mark-resight datasets (excluding productivity data) resulted in median estimates of </w:t>
      </w:r>
      <m:oMath>
        <m:sSub>
          <m:sSubPr>
            <m:ctrlPr>
              <w:rPr>
                <w:rFonts w:ascii="Cambria Math" w:hAnsi="Cambria Math"/>
              </w:rPr>
            </m:ctrlPr>
          </m:sSubPr>
          <m:e>
            <m:r>
              <w:rPr>
                <w:rFonts w:ascii="Cambria Math" w:hAnsi="Cambria Math"/>
              </w:rPr>
              <m:t>ϕ</m:t>
            </m:r>
          </m:e>
          <m:sub>
            <m:r>
              <w:rPr>
                <w:rFonts w:ascii="Cambria Math" w:hAnsi="Cambria Math"/>
              </w:rPr>
              <m:t>ad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xml:space="preserve"> that were close to truth for scenarios 11-15. The model excluding the productivity data resulted in medians that underestimated </w:t>
      </w:r>
      <m:oMath>
        <m:r>
          <w:rPr>
            <w:rFonts w:ascii="Cambria Math" w:hAnsi="Cambria Math"/>
          </w:rPr>
          <w:lastRenderedPageBreak/>
          <m:t>f</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a</m:t>
            </m:r>
          </m:sub>
        </m:sSub>
        <m:r>
          <w:rPr>
            <w:rFonts w:ascii="Cambria Math" w:hAnsi="Cambria Math"/>
          </w:rPr>
          <m:t>d</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under all scenarios. The model was able to capture the true value of </w:t>
      </w:r>
      <m:oMath>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under scenarios 11, 12, 13, and 15 (Figure 4). The relative bias and RMSE for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and </w:t>
      </w:r>
      <m:oMath>
        <m:r>
          <w:rPr>
            <w:rFonts w:ascii="Cambria Math" w:hAnsi="Cambria Math"/>
          </w:rPr>
          <m:t>f</m:t>
        </m:r>
      </m:oMath>
      <w:r>
        <w:t xml:space="preserve"> were high. Whereas the relative bias and RMSE for all other parameters in scenarios 11-15 was low (less than |0.1|; Figure 5).</w:t>
      </w:r>
    </w:p>
    <w:p w14:paraId="23D6DF94" w14:textId="77777777" w:rsidR="002E5437" w:rsidRDefault="00D06E78">
      <w:pPr>
        <w:pStyle w:val="BodyText"/>
      </w:pPr>
      <w:r>
        <w:rPr>
          <w:b/>
        </w:rPr>
        <w:t>Discussion</w:t>
      </w:r>
    </w:p>
    <w:p w14:paraId="054BE9A4" w14:textId="277A8D32" w:rsidR="002E5437" w:rsidRDefault="00D06E78">
      <w:pPr>
        <w:pStyle w:val="BodyText"/>
      </w:pPr>
      <w:r>
        <w:t xml:space="preserve">This simulation analysis aims to explore the benefits and weaknesses of data integration for population models across varying levels of data quality (degree of uncertainty) and quantity (sample size, number of available datasets) for a typical passerine bird species. </w:t>
      </w:r>
      <w:r w:rsidR="00D756EC">
        <w:t>O</w:t>
      </w:r>
      <w:r>
        <w:t xml:space="preserve">ne of the main goals of the study was to </w:t>
      </w:r>
      <w:r w:rsidR="00A92225">
        <w:t xml:space="preserve">identify </w:t>
      </w:r>
      <w:r>
        <w:t>circumstances</w:t>
      </w:r>
      <w:r w:rsidR="00A92225">
        <w:t xml:space="preserve"> where</w:t>
      </w:r>
      <w:r>
        <w:t xml:space="preserve"> developing IPMs is worth the potential additional resources needed for data collection. </w:t>
      </w:r>
      <w:r w:rsidR="00FC4EE2">
        <w:t>S</w:t>
      </w:r>
      <w:r>
        <w:t xml:space="preserve">imilarly, </w:t>
      </w:r>
      <w:r w:rsidR="00FC4EE2">
        <w:t xml:space="preserve">we aimed to </w:t>
      </w:r>
      <w:r w:rsidR="00ED28AD">
        <w:t>explore</w:t>
      </w:r>
      <w:r w:rsidR="00FC4EE2">
        <w:t xml:space="preserve"> situations </w:t>
      </w:r>
      <w:r>
        <w:t>when this type of data integration framework c</w:t>
      </w:r>
      <w:r w:rsidR="00ED28AD">
        <w:t>ould</w:t>
      </w:r>
      <w:r>
        <w:t xml:space="preserve"> facilitate the estimation of parameters not directly informed by available data. Our initial results reaffirm the benefits of data integration for avian population modeling and highlight avenues of future investigation.</w:t>
      </w:r>
    </w:p>
    <w:p w14:paraId="4C4EE6E2" w14:textId="3F278E93" w:rsidR="002E5437" w:rsidRDefault="00D06E78">
      <w:pPr>
        <w:pStyle w:val="BodyText"/>
      </w:pPr>
      <w:r>
        <w:t>In our example of a typical passerine life history, the full IPM was the only data landscape in which</w:t>
      </w:r>
      <w:r w:rsidR="00EC46E8">
        <w:t xml:space="preserve"> all but one of the </w:t>
      </w:r>
      <w:r>
        <w:t>parameters were successfully returned with relatively little to no bias. In this case, we can also see the importance of integrating all three datasets for the estimation of juvenile survival, which is not directly informed by any of the datasets. Even in the full IPM, however, we do see increased bias and decreased accuracy (as measured by higher RMSE) in survival (particularly juvenile) at low detection rates that is not improved when the survival rate is higher. This suggests that detection probability is a strong determinant in parameter uncertainty. An important future scenario to examine under this full data landscape is whether that uncertainty could be overcome by increasing sample sizes and/or survey frequency.</w:t>
      </w:r>
    </w:p>
    <w:p w14:paraId="09FC4FAF" w14:textId="21ECAF62" w:rsidR="002E5437" w:rsidRDefault="00D06E78">
      <w:pPr>
        <w:pStyle w:val="BodyText"/>
      </w:pPr>
      <w:r>
        <w:t xml:space="preserve">When examining model performance across the other reduced data landscapes, similar patterns arose when removing either mark-resight or productivity datasets. With only two datasets, bias increased and accuracy was reduced only for parameters directly informed by the dataset that was omitted, and this deterioration in model performance was much greater than from decreased detection probability in the full IPM. This pattern, if explored further, will start to reveal some of the trade-offs that are most interesting to more fully investigate using this framework. Specifically, it will be helpful to examine to what extent sample size would have to increase and uncertainty would have to </w:t>
      </w:r>
      <w:r w:rsidR="00E72B8B">
        <w:t>decrease</w:t>
      </w:r>
      <w:r>
        <w:t xml:space="preserve"> in order to estimate the implicit parameters with a similar degree of accuracy and precision as with the IPM. And, when aiming to improve data quality and quantity, whether it can be accomplished more readily by increasing sample sizes and/or detection probability in mark-resight data versus productivity data. In other words, for our passerine, if, when, and to what extent does one dataset dominate another in terms of estimating abundance?</w:t>
      </w:r>
    </w:p>
    <w:p w14:paraId="2F89AF69" w14:textId="77777777" w:rsidR="002E5437" w:rsidRDefault="00D06E78">
      <w:pPr>
        <w:pStyle w:val="BodyText"/>
      </w:pPr>
      <w:r>
        <w:t xml:space="preserve">With the progression of these analyses, our aim is to additionally understand how some of these trade-offs within an IPM framework might vary for other life histories (e.g., additional life stages) and survey features. Here we assume that all datasets are independent and that mark-recapture model assumptions hold, but it would be possible to explore violations of any of these. We are also interested in examining the ability of our </w:t>
      </w:r>
      <w:r>
        <w:lastRenderedPageBreak/>
        <w:t>IPM to detect a trend in demographic rates or abundance across the three data landscapes or in the face of unmodeled heterogeneity.</w:t>
      </w:r>
    </w:p>
    <w:p w14:paraId="501B29E2" w14:textId="10110C69" w:rsidR="002E5437" w:rsidRDefault="00D06E78" w:rsidP="001733DF">
      <w:pPr>
        <w:pStyle w:val="BodyText"/>
      </w:pPr>
      <w:r>
        <w:t>Most research applications using an IPM framework cite the benefits of improved parameter estimation, including reduced bias and the ability to estimate implicit parameters, though not all authors can or choose to confirm this through data simulation or compare their IPM estimates with those from traditional modeling frameworks. It is likely that the benefits of IPMs are fairly variable and context-specific, meaning that the degree to which IPMs improve parameter estimation depend on life history, model assumptions, sample sizes, parameter uncertainty, and likelihood structure. This type of study can enhance our understanding of IPM performance when datasets may be sparse, biased, or both. Depending on the goal of a given monitoring or conservation and management program, it can be helpful to understand how biases in existing data affect our ability to produce accurate estimates of abundance and trends, and how it might or might not be possible to overcome sparseness or bias by collecting additional data. This information can be key to designing and implementing monitoring surveys for avian populations.</w:t>
      </w:r>
    </w:p>
    <w:p w14:paraId="519A1B88" w14:textId="77777777" w:rsidR="00DA2973" w:rsidRDefault="00DA2973">
      <w:pPr>
        <w:spacing w:after="200"/>
        <w:rPr>
          <w:b/>
        </w:rPr>
      </w:pPr>
      <w:r>
        <w:rPr>
          <w:b/>
        </w:rPr>
        <w:br w:type="page"/>
      </w:r>
    </w:p>
    <w:p w14:paraId="3D229BAB" w14:textId="6971E63A" w:rsidR="002E5437" w:rsidRDefault="00D06E78">
      <w:pPr>
        <w:pStyle w:val="BodyText"/>
      </w:pPr>
      <w:r>
        <w:rPr>
          <w:b/>
        </w:rPr>
        <w:lastRenderedPageBreak/>
        <w:t>Literature cited</w:t>
      </w:r>
    </w:p>
    <w:p w14:paraId="73BABD6B" w14:textId="77777777" w:rsidR="002E5437" w:rsidRDefault="00D06E78">
      <w:pPr>
        <w:pStyle w:val="BodyText"/>
      </w:pPr>
      <w:r>
        <w:t xml:space="preserve">Abadi, F., Gimenez, O., Arlettaz, R., Schaub, M., 2010a. An assessment of integrated population models: bias, accuracy, and violation of the assumption of independence. Ecology 91, 7–14. </w:t>
      </w:r>
      <w:hyperlink r:id="rId12">
        <w:r>
          <w:rPr>
            <w:rStyle w:val="Hyperlink"/>
          </w:rPr>
          <w:t>https://doi.org/10.1890/08-2235.1</w:t>
        </w:r>
      </w:hyperlink>
    </w:p>
    <w:p w14:paraId="5E01AAF4" w14:textId="77777777" w:rsidR="002E5437" w:rsidRDefault="00D06E78">
      <w:pPr>
        <w:pStyle w:val="BodyText"/>
      </w:pPr>
      <w:r>
        <w:t xml:space="preserve">Ahrestani, F.S., Saracco, J.F., Sauer, J.R., Pardieck, K.L., Royle, J.A., 2017. An integrated population model for bird monitoring in North America. Ecol Appl 27, 916–924. </w:t>
      </w:r>
      <w:hyperlink r:id="rId13">
        <w:r>
          <w:rPr>
            <w:rStyle w:val="Hyperlink"/>
          </w:rPr>
          <w:t>https://doi.org/10.1002/eap.1493</w:t>
        </w:r>
      </w:hyperlink>
    </w:p>
    <w:p w14:paraId="010840DD" w14:textId="77777777" w:rsidR="002E5437" w:rsidRDefault="00D06E78">
      <w:pPr>
        <w:pStyle w:val="BodyText"/>
      </w:pPr>
      <w:r>
        <w:t xml:space="preserve">Besbeas P., Borysiewicz R.S., Morgan B.J., 2009. Completing the Ecological Jigsaw. In: Thomson D.L., Cooch E.G., Conroy M.J. (eds) Modeling Demographic Processes In Marked Populations. Environmental and Ecological Statistics, vol 3. Springer, Boston, MA. </w:t>
      </w:r>
      <w:hyperlink r:id="rId14">
        <w:r>
          <w:rPr>
            <w:rStyle w:val="Hyperlink"/>
          </w:rPr>
          <w:t>https://doi.org/10.1007/978-0-387-78151-8_22</w:t>
        </w:r>
      </w:hyperlink>
    </w:p>
    <w:p w14:paraId="34AD192E" w14:textId="77777777" w:rsidR="002E5437" w:rsidRDefault="00D06E78">
      <w:pPr>
        <w:pStyle w:val="BodyText"/>
      </w:pPr>
      <w:r>
        <w:t>Besbeas, P., Freeman, S.N., Morgan, B.J.T., Catchpole, E.A., 2002. Integrating mark-recapture-recovery and census data to estimate animal abundance and demographic parameters. Biometrics 58, 540–547.</w:t>
      </w:r>
    </w:p>
    <w:p w14:paraId="6FABCAB5" w14:textId="77777777" w:rsidR="002E5437" w:rsidRDefault="00D06E78">
      <w:pPr>
        <w:pStyle w:val="BodyText"/>
      </w:pPr>
      <w:r>
        <w:t xml:space="preserve">Besbeas, P., Freeman, S.N., Morgan, B.J.T., 2005. The potential of integrated population modelling. Australian &amp; New Zealand Journal of Statistics 47, 35-48. </w:t>
      </w:r>
      <w:hyperlink r:id="rId15">
        <w:r>
          <w:rPr>
            <w:rStyle w:val="Hyperlink"/>
          </w:rPr>
          <w:t>https://doi.org/10.1111/j.1467-842X.2005.00370.x</w:t>
        </w:r>
      </w:hyperlink>
    </w:p>
    <w:p w14:paraId="2C8C74A8" w14:textId="77777777" w:rsidR="002E5437" w:rsidRDefault="00D06E78">
      <w:pPr>
        <w:pStyle w:val="BodyText"/>
      </w:pPr>
      <w:r>
        <w:t xml:space="preserve">Bled, F., Belant, J.L., Daele, L.J.V., Svoboda, N., Gustine, D., Hilderbrand, G., Barnes, V.G., n.d. Using multiple data types and integrated population models to improve our knowledge of apex predator population dynamics. Ecology and Evolution 7, 9531–9543. </w:t>
      </w:r>
      <w:hyperlink r:id="rId16">
        <w:r>
          <w:rPr>
            <w:rStyle w:val="Hyperlink"/>
          </w:rPr>
          <w:t>https://doi.org/10.1002/ece3.3469</w:t>
        </w:r>
      </w:hyperlink>
    </w:p>
    <w:p w14:paraId="23642CAC" w14:textId="77777777" w:rsidR="002E5437" w:rsidRDefault="00D06E78">
      <w:pPr>
        <w:pStyle w:val="BodyText"/>
      </w:pPr>
      <w:r>
        <w:t xml:space="preserve">Bowler, D.E., Nilsen, E.B., Bischof, R., O’Hara, R.B., Yu, T.T., Oo, T., Aung, M., Linnell, J.D.C., 2019. Integrating data from different survey types for population monitoring of an endangered species: the case of the Eld’s deer. Scientific Reports 9, 7766. </w:t>
      </w:r>
      <w:hyperlink r:id="rId17">
        <w:r>
          <w:rPr>
            <w:rStyle w:val="Hyperlink"/>
          </w:rPr>
          <w:t>https://doi.org/10.1038/s41598-019-44075-9</w:t>
        </w:r>
      </w:hyperlink>
    </w:p>
    <w:p w14:paraId="55127B94" w14:textId="77777777" w:rsidR="002E5437" w:rsidRDefault="00D06E78">
      <w:pPr>
        <w:pStyle w:val="BodyText"/>
      </w:pPr>
      <w:r>
        <w:t>Brooks S.P., King R., Morgan B.J.T., 2004. A Bayesian approach to combining animal abundance and demographic data. Animal Biodiversity and Conservation 27, 515–529.</w:t>
      </w:r>
    </w:p>
    <w:p w14:paraId="411BC657" w14:textId="77777777" w:rsidR="002E5437" w:rsidRDefault="00D06E78">
      <w:pPr>
        <w:pStyle w:val="BodyText"/>
      </w:pPr>
      <w:r>
        <w:t xml:space="preserve">Chandler, R.B., Clark, J.D., 2014. Spatially explicit integrated population models. Methods in Ecology and Evolution 5, 1351–1360. </w:t>
      </w:r>
      <w:hyperlink r:id="rId18">
        <w:r>
          <w:rPr>
            <w:rStyle w:val="Hyperlink"/>
          </w:rPr>
          <w:t>https://doi.org/10.1111/2041-210X.12153</w:t>
        </w:r>
      </w:hyperlink>
    </w:p>
    <w:p w14:paraId="6194CED2" w14:textId="77777777" w:rsidR="002E5437" w:rsidRDefault="00D06E78">
      <w:pPr>
        <w:pStyle w:val="BodyText"/>
      </w:pPr>
      <w:r>
        <w:t>Cruz, J., Windels, S.K., Thogmartin, W.E., Crimmins, S.M., Grim, L.H., Zuckerberg, B., 2018. Managing individual nests promotes population recovery of a top predator. Journal of Applied Ecology 55, 1418–1429.</w:t>
      </w:r>
    </w:p>
    <w:p w14:paraId="24CF389D" w14:textId="77777777" w:rsidR="002E5437" w:rsidRDefault="00D06E78">
      <w:pPr>
        <w:pStyle w:val="BodyText"/>
      </w:pPr>
      <w:r>
        <w:t xml:space="preserve">Farr, M.T., Green, D.S., Holekamp, K.E., Zipkin, E.F., n.d. Integrating distance sampling and presence-only data to estimate species abundance. Ecology n/a, e03204. </w:t>
      </w:r>
      <w:hyperlink r:id="rId19">
        <w:r>
          <w:rPr>
            <w:rStyle w:val="Hyperlink"/>
          </w:rPr>
          <w:t>https://doi.org/10.1002/ecy.3204</w:t>
        </w:r>
      </w:hyperlink>
    </w:p>
    <w:p w14:paraId="3CBBAF35" w14:textId="59ED8932" w:rsidR="002E5437" w:rsidRDefault="00D06E78">
      <w:pPr>
        <w:pStyle w:val="BodyText"/>
        <w:rPr>
          <w:rStyle w:val="Hyperlink"/>
        </w:rPr>
      </w:pPr>
      <w:r>
        <w:t xml:space="preserve">Gamelon, M., Baubet, E., Besnard, A., Gaillard, J.-M., Lebreton, J.-D., Touzot, L., Veylit, L., Gimenez, O., 2019.Efficient use of harvest data: An integrated population </w:t>
      </w:r>
      <w:r>
        <w:lastRenderedPageBreak/>
        <w:t xml:space="preserve">model for exploited animal populations. bioRxiv 776104. doi: </w:t>
      </w:r>
      <w:hyperlink r:id="rId20">
        <w:r>
          <w:rPr>
            <w:rStyle w:val="Hyperlink"/>
          </w:rPr>
          <w:t>https://doi.org/10.1101/776104</w:t>
        </w:r>
      </w:hyperlink>
    </w:p>
    <w:p w14:paraId="08B524E0" w14:textId="0600D82D" w:rsidR="00DA2973" w:rsidRDefault="00DA2973">
      <w:pPr>
        <w:pStyle w:val="BodyText"/>
        <w:rPr>
          <w:rStyle w:val="Hyperlink"/>
        </w:rPr>
      </w:pPr>
      <w:r w:rsidRPr="00DA2973">
        <w:rPr>
          <w:rStyle w:val="Hyperlink"/>
        </w:rPr>
        <w:t>Goodman, D., 2004. Methods for Joint Inference from Multiple Data Sources for Improved Estimates of Population Size and Survival Rates. Marine Mammal Science 20, 401–423. https://doi.org/10.1111/j.1748-7692.2004.tb01169.x</w:t>
      </w:r>
    </w:p>
    <w:p w14:paraId="073D6BBC" w14:textId="77777777" w:rsidR="008D5E39" w:rsidRDefault="008D5E39">
      <w:pPr>
        <w:pStyle w:val="BodyText"/>
      </w:pPr>
      <w:proofErr w:type="spellStart"/>
      <w:r>
        <w:t>L</w:t>
      </w:r>
      <w:r w:rsidRPr="008D5E39">
        <w:t>ebreton</w:t>
      </w:r>
      <w:proofErr w:type="spellEnd"/>
      <w:r w:rsidRPr="008D5E39">
        <w:t xml:space="preserve"> J</w:t>
      </w:r>
      <w:r>
        <w:t>.</w:t>
      </w:r>
      <w:r w:rsidRPr="008D5E39">
        <w:t>D</w:t>
      </w:r>
      <w:r>
        <w:t>.</w:t>
      </w:r>
      <w:r w:rsidRPr="008D5E39">
        <w:t>, Burnham K</w:t>
      </w:r>
      <w:r>
        <w:t>.</w:t>
      </w:r>
      <w:r w:rsidRPr="008D5E39">
        <w:t>P</w:t>
      </w:r>
      <w:r>
        <w:t>.</w:t>
      </w:r>
      <w:r w:rsidRPr="008D5E39">
        <w:t xml:space="preserve">, </w:t>
      </w:r>
      <w:proofErr w:type="spellStart"/>
      <w:r w:rsidRPr="008D5E39">
        <w:t>Clobert</w:t>
      </w:r>
      <w:proofErr w:type="spellEnd"/>
      <w:r w:rsidRPr="008D5E39">
        <w:t xml:space="preserve"> J</w:t>
      </w:r>
      <w:r>
        <w:t>.</w:t>
      </w:r>
      <w:r w:rsidRPr="008D5E39">
        <w:t>, Anderson D</w:t>
      </w:r>
      <w:r>
        <w:t>.</w:t>
      </w:r>
      <w:r w:rsidRPr="008D5E39">
        <w:t>R</w:t>
      </w:r>
      <w:r>
        <w:t>.,</w:t>
      </w:r>
      <w:r w:rsidRPr="008D5E39">
        <w:t xml:space="preserve"> 1992</w:t>
      </w:r>
      <w:r>
        <w:t>.</w:t>
      </w:r>
      <w:r w:rsidRPr="008D5E39">
        <w:t xml:space="preserve"> Modeling survival and testing biological hypothesis using marked animals: a unified approach with case studies. </w:t>
      </w:r>
      <w:proofErr w:type="spellStart"/>
      <w:r w:rsidRPr="008D5E39">
        <w:t>Ecol</w:t>
      </w:r>
      <w:proofErr w:type="spellEnd"/>
      <w:r w:rsidRPr="008D5E39">
        <w:t xml:space="preserve"> </w:t>
      </w:r>
      <w:proofErr w:type="spellStart"/>
      <w:r w:rsidRPr="008D5E39">
        <w:t>Monogr</w:t>
      </w:r>
      <w:proofErr w:type="spellEnd"/>
      <w:r w:rsidRPr="008D5E39">
        <w:t xml:space="preserve"> 62</w:t>
      </w:r>
      <w:r>
        <w:t xml:space="preserve">, </w:t>
      </w:r>
      <w:r w:rsidRPr="008D5E39">
        <w:t>67–118</w:t>
      </w:r>
      <w:r>
        <w:t>.</w:t>
      </w:r>
    </w:p>
    <w:p w14:paraId="5A5AB8DA" w14:textId="77777777" w:rsidR="002E5437" w:rsidRDefault="00D06E78">
      <w:pPr>
        <w:pStyle w:val="BodyText"/>
      </w:pPr>
      <w:r>
        <w:t xml:space="preserve">Lee, A.M., Bjørkvoll, E.M., Hansen, B.B., Albon, S.D., Stien, A., Sæther, B.‐E., Engen, S., Veiberg, V., Loe, L.E., Grøtan, V., 2015. An integrated population model for a long‐lived ungulate: more efficient data use with Bayesian methods. Oikos 124, 806-816. </w:t>
      </w:r>
      <w:hyperlink r:id="rId21">
        <w:r>
          <w:rPr>
            <w:rStyle w:val="Hyperlink"/>
          </w:rPr>
          <w:t>https://doi.org/10.1111/oik.01924</w:t>
        </w:r>
      </w:hyperlink>
    </w:p>
    <w:p w14:paraId="65726DD1" w14:textId="77777777" w:rsidR="00104B9E" w:rsidRDefault="00104B9E">
      <w:pPr>
        <w:pStyle w:val="BodyText"/>
      </w:pPr>
      <w:r w:rsidRPr="00104B9E">
        <w:t>Martin, T</w:t>
      </w:r>
      <w:r w:rsidR="005C5858">
        <w:t>.</w:t>
      </w:r>
      <w:r w:rsidRPr="00104B9E">
        <w:t xml:space="preserve">E., Geoffrey R. </w:t>
      </w:r>
      <w:proofErr w:type="spellStart"/>
      <w:r w:rsidRPr="00104B9E">
        <w:t>Geupel</w:t>
      </w:r>
      <w:proofErr w:type="spellEnd"/>
      <w:r w:rsidR="005C5858">
        <w:t>, G.R</w:t>
      </w:r>
      <w:r w:rsidRPr="00104B9E">
        <w:t>.</w:t>
      </w:r>
      <w:r w:rsidR="005C5858">
        <w:t>, 1993.</w:t>
      </w:r>
      <w:r w:rsidRPr="00104B9E">
        <w:t xml:space="preserve"> Nest-Monitoring Plots: Methods for Locating Nests and Monitoring Success</w:t>
      </w:r>
      <w:r w:rsidR="005C5858">
        <w:t>.</w:t>
      </w:r>
      <w:r w:rsidRPr="00104B9E">
        <w:t xml:space="preserve"> Journal of Field Ornithology 64,</w:t>
      </w:r>
      <w:r>
        <w:t xml:space="preserve"> </w:t>
      </w:r>
      <w:r w:rsidRPr="00104B9E">
        <w:t>507–519.</w:t>
      </w:r>
    </w:p>
    <w:p w14:paraId="71EBD6F8" w14:textId="77777777" w:rsidR="002E5437" w:rsidRDefault="00D06E78">
      <w:pPr>
        <w:pStyle w:val="BodyText"/>
      </w:pPr>
      <w:r>
        <w:t xml:space="preserve">McCrea, R.S., Morgan, B.J.T., Gimenez, O., Besbeas, P., Lebreton, J.-D., Bregnballe, T., 2010. Multi-Site Integrated Population Modelling. Journal of Agricultural, Biological and Environmental Statistics 15, 539–561. </w:t>
      </w:r>
      <w:hyperlink r:id="rId22">
        <w:r>
          <w:rPr>
            <w:rStyle w:val="Hyperlink"/>
          </w:rPr>
          <w:t>https://doi.org/10.1007/s13253-010-0027-5</w:t>
        </w:r>
      </w:hyperlink>
    </w:p>
    <w:p w14:paraId="7FA2E572" w14:textId="77777777" w:rsidR="002E5437" w:rsidRDefault="00D06E78">
      <w:pPr>
        <w:pStyle w:val="BodyText"/>
      </w:pPr>
      <w:r>
        <w:t xml:space="preserve">Mormede, S., Parker, S.J., Pinkerton, M.H., 2020. Comparing spatial distribution modelling of fisheries data with single-area or spatially-explicit integrated population models, a case study of toothfish in the Ross Sea region. Fisheries Research 221, 105381. </w:t>
      </w:r>
      <w:hyperlink r:id="rId23">
        <w:r>
          <w:rPr>
            <w:rStyle w:val="Hyperlink"/>
          </w:rPr>
          <w:t>https://doi.org/10.1016/j.fishres.2019.105381</w:t>
        </w:r>
      </w:hyperlink>
    </w:p>
    <w:p w14:paraId="27494246" w14:textId="77777777" w:rsidR="002E5437" w:rsidRDefault="00D06E78">
      <w:pPr>
        <w:pStyle w:val="BodyText"/>
      </w:pPr>
      <w:r>
        <w:t xml:space="preserve">NIMBLE Development Team. 2020. NIMBLE: MCMC, Particle Filtering, and Programmable Hierarchical Modeling. doi: 10.5281/zenodo.1211190. R package version 0.10.1, </w:t>
      </w:r>
      <w:hyperlink r:id="rId24">
        <w:r>
          <w:rPr>
            <w:rStyle w:val="Hyperlink"/>
          </w:rPr>
          <w:t>https://cran.r-project.org/package=nimble</w:t>
        </w:r>
      </w:hyperlink>
      <w:r>
        <w:t>.</w:t>
      </w:r>
    </w:p>
    <w:p w14:paraId="408034A5" w14:textId="77777777" w:rsidR="002E5437" w:rsidRDefault="00D06E78">
      <w:pPr>
        <w:pStyle w:val="BodyText"/>
      </w:pPr>
      <w:r>
        <w:t>Oppel, S., Hilton, G., Ratcliffe, N., Fenton, C., Daley, J., Gray, G., Vickery, J., Gibbons, D., 2014. Assessing population viability while accounting for demographic and environmental uncertainty. Ecology 95, 1809–1818.</w:t>
      </w:r>
    </w:p>
    <w:p w14:paraId="11708725" w14:textId="6A8D6FD7" w:rsidR="002E5437" w:rsidRDefault="00D06E78">
      <w:pPr>
        <w:pStyle w:val="BodyText"/>
        <w:rPr>
          <w:rStyle w:val="Hyperlink"/>
        </w:rPr>
      </w:pPr>
      <w:r>
        <w:t xml:space="preserve">Riecke, T.V., Williams, P.J., Behnke, T.L., Gibson, D., Leach, A.G., Sedinger, B.S., Street, P.A., Sedinger, J.S., 2019. Integrated population models: model assumptions and inference. Methods Ecol Evol 2041–210X.13195. </w:t>
      </w:r>
      <w:hyperlink r:id="rId25">
        <w:r>
          <w:rPr>
            <w:rStyle w:val="Hyperlink"/>
          </w:rPr>
          <w:t>https://doi.org/10.1111/2041-210X.13195</w:t>
        </w:r>
      </w:hyperlink>
    </w:p>
    <w:p w14:paraId="4F086E03" w14:textId="7011E1EA" w:rsidR="00DE053B" w:rsidRDefault="00DE053B">
      <w:pPr>
        <w:pStyle w:val="BodyText"/>
      </w:pPr>
      <w:proofErr w:type="spellStart"/>
      <w:r w:rsidRPr="00DE053B">
        <w:t>Royle</w:t>
      </w:r>
      <w:proofErr w:type="spellEnd"/>
      <w:r w:rsidRPr="00DE053B">
        <w:t>, J.A., 2004. N-mixture models for estimating population size from spatially replicated counts. Biometrics 60, 108–115.</w:t>
      </w:r>
    </w:p>
    <w:p w14:paraId="24FD4AD1" w14:textId="77777777" w:rsidR="002E5437" w:rsidRDefault="00D06E78">
      <w:pPr>
        <w:pStyle w:val="BodyText"/>
      </w:pPr>
      <w:r>
        <w:t>Schaub, M., Abadi, F., 2011. Integrated population models: A novel analysis framework for deeper insights into population dynamics. Journal of Ornithology 152:S227–S237.</w:t>
      </w:r>
    </w:p>
    <w:p w14:paraId="242C0C7E" w14:textId="77777777" w:rsidR="002E5437" w:rsidRDefault="00D06E78">
      <w:pPr>
        <w:pStyle w:val="BodyText"/>
      </w:pPr>
      <w:r>
        <w:t xml:space="preserve">Schaub, M., Fletcher, D., 2015. Estimating immigration using a Bayesian integrated population model: choice of parametrization and priors. Environ Ecol Stat 22, 535–549. </w:t>
      </w:r>
      <w:hyperlink r:id="rId26">
        <w:r>
          <w:rPr>
            <w:rStyle w:val="Hyperlink"/>
          </w:rPr>
          <w:t>https://doi.org/10.1007/s10651-015-0309-8</w:t>
        </w:r>
      </w:hyperlink>
    </w:p>
    <w:p w14:paraId="48E80C13" w14:textId="77777777" w:rsidR="002E5437" w:rsidRDefault="00D06E78">
      <w:pPr>
        <w:pStyle w:val="BodyText"/>
      </w:pPr>
      <w:r>
        <w:lastRenderedPageBreak/>
        <w:t xml:space="preserve">Schaub, M., Gimenez, O., Sierro, A., Arlettaz, R., 2007. Use of Integrated Modeling to Enhance Estimates of Population Dynamics Obtained from Limited Data. Conservation Biology 21, 945-955. </w:t>
      </w:r>
      <w:hyperlink r:id="rId27">
        <w:r>
          <w:rPr>
            <w:rStyle w:val="Hyperlink"/>
          </w:rPr>
          <w:t>https://doi.org/10.1111/j.1523-1739.2007.00743.x</w:t>
        </w:r>
      </w:hyperlink>
    </w:p>
    <w:p w14:paraId="092407A0" w14:textId="77777777" w:rsidR="002E5437" w:rsidRDefault="00D06E78">
      <w:pPr>
        <w:pStyle w:val="BodyText"/>
      </w:pPr>
      <w:r>
        <w:t xml:space="preserve">Simmonds, E.G., Jarvis, S.G., Henrys, P.A., Isaac, N.J.B., O’Hara, R.B., 2020. Is more data always better? A simulation study of benefits and limitations of integrated distribution models. Ecography 43, 1413–1422. </w:t>
      </w:r>
      <w:hyperlink r:id="rId28">
        <w:r>
          <w:rPr>
            <w:rStyle w:val="Hyperlink"/>
          </w:rPr>
          <w:t>https://doi.org/10.1111/ecog.05146</w:t>
        </w:r>
      </w:hyperlink>
    </w:p>
    <w:p w14:paraId="46454CFB" w14:textId="77777777" w:rsidR="002E5437" w:rsidRDefault="00D06E78">
      <w:pPr>
        <w:pStyle w:val="BodyText"/>
      </w:pPr>
      <w:r>
        <w:t xml:space="preserve">Sun, C.C., Royle, J.A., Fuller, A.K., 2019. Incorporating citizen science data in spatially explicit integrated population models. Ecology 100, e02777. </w:t>
      </w:r>
      <w:hyperlink r:id="rId29">
        <w:r>
          <w:rPr>
            <w:rStyle w:val="Hyperlink"/>
          </w:rPr>
          <w:t>https://doi.org/10.1002/ecy.2777</w:t>
        </w:r>
      </w:hyperlink>
    </w:p>
    <w:p w14:paraId="6BA71A70" w14:textId="77777777" w:rsidR="002E5437" w:rsidRDefault="00D06E78">
      <w:pPr>
        <w:pStyle w:val="BodyText"/>
      </w:pPr>
      <w:r>
        <w:t xml:space="preserve">Tavecchia, G., Besbeas, P., Coulson, T., Morgan, B.J.T., Clutton‐Brock, T.H., 2009. Estimating Population Size and Hidden Demographic Parameters with State‐Space Modeling. The American Naturalist 173, 722–733. </w:t>
      </w:r>
      <w:hyperlink r:id="rId30">
        <w:r>
          <w:rPr>
            <w:rStyle w:val="Hyperlink"/>
          </w:rPr>
          <w:t>https://doi.org/10.1086/598499</w:t>
        </w:r>
      </w:hyperlink>
    </w:p>
    <w:p w14:paraId="04AE320D" w14:textId="77777777" w:rsidR="002E5437" w:rsidRDefault="00D06E78">
      <w:pPr>
        <w:pStyle w:val="BodyText"/>
      </w:pPr>
      <w:r>
        <w:t xml:space="preserve">Véran, S., Lebreton, J.D., 2008. The potential of integrated modelling in conservation biology: A case study of the black‐footed albatross (Phoebastria nigripes). Can J Statistics, 36, 85-98. </w:t>
      </w:r>
      <w:hyperlink r:id="rId31">
        <w:r>
          <w:rPr>
            <w:rStyle w:val="Hyperlink"/>
          </w:rPr>
          <w:t>https://doi.org/10.1002/cjs.5550360109</w:t>
        </w:r>
      </w:hyperlink>
    </w:p>
    <w:p w14:paraId="29C2DDD6" w14:textId="77777777" w:rsidR="002E5437" w:rsidRDefault="00D06E78">
      <w:pPr>
        <w:pStyle w:val="BodyText"/>
      </w:pPr>
      <w:r>
        <w:t xml:space="preserve">Weegman, M.D., Arnold, T.W., Clark, R.G., Schaub, M., 2020. Partial and complete dependency among data sets has minimal consequence on estimates from integrated population models. Ecological Applications. </w:t>
      </w:r>
      <w:hyperlink r:id="rId32">
        <w:r>
          <w:rPr>
            <w:rStyle w:val="Hyperlink"/>
          </w:rPr>
          <w:t>https://doi.org/10.1002/eap.2258</w:t>
        </w:r>
      </w:hyperlink>
    </w:p>
    <w:p w14:paraId="33C52EAA" w14:textId="77777777" w:rsidR="002E5437" w:rsidRDefault="00D06E78">
      <w:pPr>
        <w:pStyle w:val="BodyText"/>
      </w:pPr>
      <w:r>
        <w:t xml:space="preserve">Woodworth, B., Wheelwright, N., Newman, A., Schaub, M., Norris, D.R., 2017. Winter temperatures limit population growth rate of a migratory songbird. Nat Commun 8, 14812. </w:t>
      </w:r>
      <w:hyperlink r:id="rId33">
        <w:r>
          <w:rPr>
            <w:rStyle w:val="Hyperlink"/>
          </w:rPr>
          <w:t>https://doi.org/10.1038/ncomms14812</w:t>
        </w:r>
      </w:hyperlink>
    </w:p>
    <w:p w14:paraId="2E9BF405" w14:textId="77777777" w:rsidR="002E5437" w:rsidRDefault="00D06E78">
      <w:pPr>
        <w:pStyle w:val="BodyText"/>
      </w:pPr>
      <w:r>
        <w:t>Zipkin, E.F., Saunders, S.P., 2018. Synthesizing multiple data types for biological conservation using integrated population models. Biological Conservation 217, 240–250.</w:t>
      </w:r>
    </w:p>
    <w:p w14:paraId="2FED2980" w14:textId="77777777" w:rsidR="002E5437" w:rsidRDefault="002E5437" w:rsidP="007E7554"/>
    <w:sectPr w:rsidR="002E5437" w:rsidSect="00D06E78">
      <w:headerReference w:type="default" r:id="rId34"/>
      <w:footerReference w:type="even" r:id="rId35"/>
      <w:footerReference w:type="default" r:id="rId36"/>
      <w:footerReference w:type="first" r:id="rId37"/>
      <w:pgSz w:w="12240" w:h="15840"/>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E1BB2" w14:textId="77777777" w:rsidR="006F6366" w:rsidRDefault="006F6366">
      <w:r>
        <w:separator/>
      </w:r>
    </w:p>
  </w:endnote>
  <w:endnote w:type="continuationSeparator" w:id="0">
    <w:p w14:paraId="28E569F0" w14:textId="77777777" w:rsidR="006F6366" w:rsidRDefault="006F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E7C15" w14:textId="77777777" w:rsidR="00F26A5E" w:rsidRDefault="00F26A5E" w:rsidP="00D06E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5AFB5B" w14:textId="77777777" w:rsidR="00F26A5E" w:rsidRDefault="00F26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D379A" w14:textId="77777777" w:rsidR="00F26A5E" w:rsidRDefault="00F26A5E" w:rsidP="00D06E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5BAD97F" w14:textId="77777777" w:rsidR="00F26A5E" w:rsidRDefault="00F26A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C5624" w14:textId="77777777" w:rsidR="00F26A5E" w:rsidRDefault="00F26A5E" w:rsidP="00D06E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191A5E7" w14:textId="77777777" w:rsidR="00F26A5E" w:rsidRDefault="00F26A5E" w:rsidP="00D06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D5801" w14:textId="77777777" w:rsidR="006F6366" w:rsidRDefault="006F6366">
      <w:r>
        <w:separator/>
      </w:r>
    </w:p>
  </w:footnote>
  <w:footnote w:type="continuationSeparator" w:id="0">
    <w:p w14:paraId="1487C2FE" w14:textId="77777777" w:rsidR="006F6366" w:rsidRDefault="006F6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3C457" w14:textId="77777777" w:rsidR="00F26A5E" w:rsidRPr="00A31449" w:rsidRDefault="00F26A5E" w:rsidP="00D06E78">
    <w:pPr>
      <w:pStyle w:val="Header"/>
      <w:jc w:val="center"/>
      <w:rPr>
        <w:i/>
      </w:rPr>
    </w:pPr>
    <w:r>
      <w:rPr>
        <w:i/>
      </w:rPr>
      <w:t>Performance of integrated population models across varying data landscapes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980B7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03AAC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2BF0"/>
    <w:rsid w:val="00053F0E"/>
    <w:rsid w:val="00076EB4"/>
    <w:rsid w:val="00104B9E"/>
    <w:rsid w:val="00116F30"/>
    <w:rsid w:val="001510FF"/>
    <w:rsid w:val="00171933"/>
    <w:rsid w:val="001733DF"/>
    <w:rsid w:val="00173CF4"/>
    <w:rsid w:val="001C0DBF"/>
    <w:rsid w:val="001F628C"/>
    <w:rsid w:val="00201B0D"/>
    <w:rsid w:val="002E5437"/>
    <w:rsid w:val="003B1250"/>
    <w:rsid w:val="004E29B3"/>
    <w:rsid w:val="00514DB4"/>
    <w:rsid w:val="00557A40"/>
    <w:rsid w:val="00590D07"/>
    <w:rsid w:val="005C12CF"/>
    <w:rsid w:val="005C5858"/>
    <w:rsid w:val="0067319E"/>
    <w:rsid w:val="006A41D8"/>
    <w:rsid w:val="006F6366"/>
    <w:rsid w:val="0076362D"/>
    <w:rsid w:val="00784D58"/>
    <w:rsid w:val="007E4111"/>
    <w:rsid w:val="007E7554"/>
    <w:rsid w:val="008226AB"/>
    <w:rsid w:val="0084109C"/>
    <w:rsid w:val="008B387C"/>
    <w:rsid w:val="008D5E39"/>
    <w:rsid w:val="008D6863"/>
    <w:rsid w:val="008E7702"/>
    <w:rsid w:val="009179EF"/>
    <w:rsid w:val="00920AC3"/>
    <w:rsid w:val="00945E3D"/>
    <w:rsid w:val="00966C2E"/>
    <w:rsid w:val="00A02710"/>
    <w:rsid w:val="00A92225"/>
    <w:rsid w:val="00AA150E"/>
    <w:rsid w:val="00B86B75"/>
    <w:rsid w:val="00B95179"/>
    <w:rsid w:val="00BA2270"/>
    <w:rsid w:val="00BC48D5"/>
    <w:rsid w:val="00BC4FAB"/>
    <w:rsid w:val="00BE0BD8"/>
    <w:rsid w:val="00C315D6"/>
    <w:rsid w:val="00C36279"/>
    <w:rsid w:val="00C44AF6"/>
    <w:rsid w:val="00C7660B"/>
    <w:rsid w:val="00D06E78"/>
    <w:rsid w:val="00D17FF5"/>
    <w:rsid w:val="00D21F93"/>
    <w:rsid w:val="00D23BED"/>
    <w:rsid w:val="00D73E5A"/>
    <w:rsid w:val="00D74E63"/>
    <w:rsid w:val="00D756EC"/>
    <w:rsid w:val="00DA2973"/>
    <w:rsid w:val="00DE053B"/>
    <w:rsid w:val="00E315A3"/>
    <w:rsid w:val="00E60DEE"/>
    <w:rsid w:val="00E72B8B"/>
    <w:rsid w:val="00E941EA"/>
    <w:rsid w:val="00EA79CB"/>
    <w:rsid w:val="00EB0410"/>
    <w:rsid w:val="00EC46E8"/>
    <w:rsid w:val="00ED1203"/>
    <w:rsid w:val="00ED28AD"/>
    <w:rsid w:val="00ED789F"/>
    <w:rsid w:val="00F26A5E"/>
    <w:rsid w:val="00F26AA8"/>
    <w:rsid w:val="00F26E69"/>
    <w:rsid w:val="00FC4EE2"/>
    <w:rsid w:val="00FE7C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A34F"/>
  <w15:docId w15:val="{4331B4D9-DFFC-2247-AFC0-8764D3CA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79CB"/>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 w:type="paragraph" w:styleId="NormalWeb">
    <w:name w:val="Normal (Web)"/>
    <w:basedOn w:val="Normal"/>
    <w:uiPriority w:val="99"/>
    <w:semiHidden/>
    <w:unhideWhenUsed/>
    <w:rsid w:val="001C0DBF"/>
    <w:pPr>
      <w:spacing w:before="100" w:beforeAutospacing="1" w:after="100" w:afterAutospacing="1"/>
    </w:pPr>
  </w:style>
  <w:style w:type="character" w:styleId="CommentReference">
    <w:name w:val="annotation reference"/>
    <w:basedOn w:val="DefaultParagraphFont"/>
    <w:semiHidden/>
    <w:unhideWhenUsed/>
    <w:rsid w:val="0084109C"/>
    <w:rPr>
      <w:sz w:val="16"/>
      <w:szCs w:val="16"/>
    </w:rPr>
  </w:style>
  <w:style w:type="paragraph" w:styleId="CommentText">
    <w:name w:val="annotation text"/>
    <w:basedOn w:val="Normal"/>
    <w:link w:val="CommentTextChar"/>
    <w:semiHidden/>
    <w:unhideWhenUsed/>
    <w:rsid w:val="0084109C"/>
    <w:rPr>
      <w:sz w:val="20"/>
      <w:szCs w:val="20"/>
    </w:rPr>
  </w:style>
  <w:style w:type="character" w:customStyle="1" w:styleId="CommentTextChar">
    <w:name w:val="Comment Text Char"/>
    <w:basedOn w:val="DefaultParagraphFont"/>
    <w:link w:val="CommentText"/>
    <w:semiHidden/>
    <w:rsid w:val="0084109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84109C"/>
    <w:rPr>
      <w:b/>
      <w:bCs/>
    </w:rPr>
  </w:style>
  <w:style w:type="character" w:customStyle="1" w:styleId="CommentSubjectChar">
    <w:name w:val="Comment Subject Char"/>
    <w:basedOn w:val="CommentTextChar"/>
    <w:link w:val="CommentSubject"/>
    <w:semiHidden/>
    <w:rsid w:val="0084109C"/>
    <w:rPr>
      <w:rFonts w:ascii="Times New Roman" w:eastAsia="Times New Roman" w:hAnsi="Times New Roman" w:cs="Times New Roman"/>
      <w:b/>
      <w:bCs/>
      <w:sz w:val="20"/>
      <w:szCs w:val="20"/>
    </w:rPr>
  </w:style>
  <w:style w:type="character" w:styleId="FollowedHyperlink">
    <w:name w:val="FollowedHyperlink"/>
    <w:basedOn w:val="DefaultParagraphFont"/>
    <w:semiHidden/>
    <w:unhideWhenUsed/>
    <w:rsid w:val="008D5E39"/>
    <w:rPr>
      <w:color w:val="800080" w:themeColor="followedHyperlink"/>
      <w:u w:val="single"/>
    </w:rPr>
  </w:style>
  <w:style w:type="character" w:styleId="PlaceholderText">
    <w:name w:val="Placeholder Text"/>
    <w:basedOn w:val="DefaultParagraphFont"/>
    <w:rsid w:val="00EC46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3017">
      <w:bodyDiv w:val="1"/>
      <w:marLeft w:val="0"/>
      <w:marRight w:val="0"/>
      <w:marTop w:val="0"/>
      <w:marBottom w:val="0"/>
      <w:divBdr>
        <w:top w:val="none" w:sz="0" w:space="0" w:color="auto"/>
        <w:left w:val="none" w:sz="0" w:space="0" w:color="auto"/>
        <w:bottom w:val="none" w:sz="0" w:space="0" w:color="auto"/>
        <w:right w:val="none" w:sz="0" w:space="0" w:color="auto"/>
      </w:divBdr>
    </w:div>
    <w:div w:id="151802563">
      <w:bodyDiv w:val="1"/>
      <w:marLeft w:val="0"/>
      <w:marRight w:val="0"/>
      <w:marTop w:val="0"/>
      <w:marBottom w:val="0"/>
      <w:divBdr>
        <w:top w:val="none" w:sz="0" w:space="0" w:color="auto"/>
        <w:left w:val="none" w:sz="0" w:space="0" w:color="auto"/>
        <w:bottom w:val="none" w:sz="0" w:space="0" w:color="auto"/>
        <w:right w:val="none" w:sz="0" w:space="0" w:color="auto"/>
      </w:divBdr>
    </w:div>
    <w:div w:id="420568909">
      <w:bodyDiv w:val="1"/>
      <w:marLeft w:val="0"/>
      <w:marRight w:val="0"/>
      <w:marTop w:val="0"/>
      <w:marBottom w:val="0"/>
      <w:divBdr>
        <w:top w:val="none" w:sz="0" w:space="0" w:color="auto"/>
        <w:left w:val="none" w:sz="0" w:space="0" w:color="auto"/>
        <w:bottom w:val="none" w:sz="0" w:space="0" w:color="auto"/>
        <w:right w:val="none" w:sz="0" w:space="0" w:color="auto"/>
      </w:divBdr>
    </w:div>
    <w:div w:id="797529659">
      <w:bodyDiv w:val="1"/>
      <w:marLeft w:val="0"/>
      <w:marRight w:val="0"/>
      <w:marTop w:val="0"/>
      <w:marBottom w:val="0"/>
      <w:divBdr>
        <w:top w:val="none" w:sz="0" w:space="0" w:color="auto"/>
        <w:left w:val="none" w:sz="0" w:space="0" w:color="auto"/>
        <w:bottom w:val="none" w:sz="0" w:space="0" w:color="auto"/>
        <w:right w:val="none" w:sz="0" w:space="0" w:color="auto"/>
      </w:divBdr>
      <w:divsChild>
        <w:div w:id="16335628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13909509">
      <w:bodyDiv w:val="1"/>
      <w:marLeft w:val="0"/>
      <w:marRight w:val="0"/>
      <w:marTop w:val="0"/>
      <w:marBottom w:val="0"/>
      <w:divBdr>
        <w:top w:val="none" w:sz="0" w:space="0" w:color="auto"/>
        <w:left w:val="none" w:sz="0" w:space="0" w:color="auto"/>
        <w:bottom w:val="none" w:sz="0" w:space="0" w:color="auto"/>
        <w:right w:val="none" w:sz="0" w:space="0" w:color="auto"/>
      </w:divBdr>
    </w:div>
    <w:div w:id="894588067">
      <w:bodyDiv w:val="1"/>
      <w:marLeft w:val="0"/>
      <w:marRight w:val="0"/>
      <w:marTop w:val="0"/>
      <w:marBottom w:val="0"/>
      <w:divBdr>
        <w:top w:val="none" w:sz="0" w:space="0" w:color="auto"/>
        <w:left w:val="none" w:sz="0" w:space="0" w:color="auto"/>
        <w:bottom w:val="none" w:sz="0" w:space="0" w:color="auto"/>
        <w:right w:val="none" w:sz="0" w:space="0" w:color="auto"/>
      </w:divBdr>
    </w:div>
    <w:div w:id="1230460733">
      <w:bodyDiv w:val="1"/>
      <w:marLeft w:val="0"/>
      <w:marRight w:val="0"/>
      <w:marTop w:val="0"/>
      <w:marBottom w:val="0"/>
      <w:divBdr>
        <w:top w:val="none" w:sz="0" w:space="0" w:color="auto"/>
        <w:left w:val="none" w:sz="0" w:space="0" w:color="auto"/>
        <w:bottom w:val="none" w:sz="0" w:space="0" w:color="auto"/>
        <w:right w:val="none" w:sz="0" w:space="0" w:color="auto"/>
      </w:divBdr>
    </w:div>
    <w:div w:id="1257636981">
      <w:bodyDiv w:val="1"/>
      <w:marLeft w:val="0"/>
      <w:marRight w:val="0"/>
      <w:marTop w:val="0"/>
      <w:marBottom w:val="0"/>
      <w:divBdr>
        <w:top w:val="none" w:sz="0" w:space="0" w:color="auto"/>
        <w:left w:val="none" w:sz="0" w:space="0" w:color="auto"/>
        <w:bottom w:val="none" w:sz="0" w:space="0" w:color="auto"/>
        <w:right w:val="none" w:sz="0" w:space="0" w:color="auto"/>
      </w:divBdr>
    </w:div>
    <w:div w:id="1413161657">
      <w:bodyDiv w:val="1"/>
      <w:marLeft w:val="0"/>
      <w:marRight w:val="0"/>
      <w:marTop w:val="0"/>
      <w:marBottom w:val="0"/>
      <w:divBdr>
        <w:top w:val="none" w:sz="0" w:space="0" w:color="auto"/>
        <w:left w:val="none" w:sz="0" w:space="0" w:color="auto"/>
        <w:bottom w:val="none" w:sz="0" w:space="0" w:color="auto"/>
        <w:right w:val="none" w:sz="0" w:space="0" w:color="auto"/>
      </w:divBdr>
    </w:div>
    <w:div w:id="1497265992">
      <w:bodyDiv w:val="1"/>
      <w:marLeft w:val="0"/>
      <w:marRight w:val="0"/>
      <w:marTop w:val="0"/>
      <w:marBottom w:val="0"/>
      <w:divBdr>
        <w:top w:val="none" w:sz="0" w:space="0" w:color="auto"/>
        <w:left w:val="none" w:sz="0" w:space="0" w:color="auto"/>
        <w:bottom w:val="none" w:sz="0" w:space="0" w:color="auto"/>
        <w:right w:val="none" w:sz="0" w:space="0" w:color="auto"/>
      </w:divBdr>
    </w:div>
    <w:div w:id="1739287262">
      <w:bodyDiv w:val="1"/>
      <w:marLeft w:val="0"/>
      <w:marRight w:val="0"/>
      <w:marTop w:val="0"/>
      <w:marBottom w:val="0"/>
      <w:divBdr>
        <w:top w:val="none" w:sz="0" w:space="0" w:color="auto"/>
        <w:left w:val="none" w:sz="0" w:space="0" w:color="auto"/>
        <w:bottom w:val="none" w:sz="0" w:space="0" w:color="auto"/>
        <w:right w:val="none" w:sz="0" w:space="0" w:color="auto"/>
      </w:divBdr>
      <w:divsChild>
        <w:div w:id="401802780">
          <w:marLeft w:val="480"/>
          <w:marRight w:val="0"/>
          <w:marTop w:val="0"/>
          <w:marBottom w:val="0"/>
          <w:divBdr>
            <w:top w:val="none" w:sz="0" w:space="0" w:color="auto"/>
            <w:left w:val="none" w:sz="0" w:space="0" w:color="auto"/>
            <w:bottom w:val="none" w:sz="0" w:space="0" w:color="auto"/>
            <w:right w:val="none" w:sz="0" w:space="0" w:color="auto"/>
          </w:divBdr>
          <w:divsChild>
            <w:div w:id="1316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eap.1493" TargetMode="External"/><Relationship Id="rId18" Type="http://schemas.openxmlformats.org/officeDocument/2006/relationships/hyperlink" Target="https://doi.org/10.1111/2041-210X.12153" TargetMode="External"/><Relationship Id="rId26" Type="http://schemas.openxmlformats.org/officeDocument/2006/relationships/hyperlink" Target="https://doi.org/10.1007/s10651-015-0309-8" TargetMode="External"/><Relationship Id="rId39" Type="http://schemas.openxmlformats.org/officeDocument/2006/relationships/theme" Target="theme/theme1.xml"/><Relationship Id="rId21" Type="http://schemas.openxmlformats.org/officeDocument/2006/relationships/hyperlink" Target="https://doi.org/10.1111/oik.01924"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oi.org/10.1890/08-2235.1" TargetMode="External"/><Relationship Id="rId17" Type="http://schemas.openxmlformats.org/officeDocument/2006/relationships/hyperlink" Target="https://doi.org/10.1038/s41598-019-44075-9" TargetMode="External"/><Relationship Id="rId25" Type="http://schemas.openxmlformats.org/officeDocument/2006/relationships/hyperlink" Target="https://doi.org/10.1111/2041-210X.13195" TargetMode="External"/><Relationship Id="rId33" Type="http://schemas.openxmlformats.org/officeDocument/2006/relationships/hyperlink" Target="https://doi.org/10.1038/ncomms1481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ece3.3469" TargetMode="External"/><Relationship Id="rId20" Type="http://schemas.openxmlformats.org/officeDocument/2006/relationships/hyperlink" Target="https://doi.org/10.1101/776104" TargetMode="External"/><Relationship Id="rId29" Type="http://schemas.openxmlformats.org/officeDocument/2006/relationships/hyperlink" Target="https://doi.org/10.1002/ecy.27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ran.r-project.org/package=nimble" TargetMode="External"/><Relationship Id="rId32" Type="http://schemas.openxmlformats.org/officeDocument/2006/relationships/hyperlink" Target="https://doi.org/10.1002/eap.2258" TargetMode="Externa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111/j.1467-842X.2005.00370.x" TargetMode="External"/><Relationship Id="rId23" Type="http://schemas.openxmlformats.org/officeDocument/2006/relationships/hyperlink" Target="https://doi.org/10.1016/j.fishres.2019.105381" TargetMode="External"/><Relationship Id="rId28" Type="http://schemas.openxmlformats.org/officeDocument/2006/relationships/hyperlink" Target="https://doi.org/10.1111/ecog.05146"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oi.org/10.1002/ecy.3204" TargetMode="External"/><Relationship Id="rId31" Type="http://schemas.openxmlformats.org/officeDocument/2006/relationships/hyperlink" Target="https://doi.org/10.1002/cjs.555036010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978-0-387-78151-8_22" TargetMode="External"/><Relationship Id="rId22" Type="http://schemas.openxmlformats.org/officeDocument/2006/relationships/hyperlink" Target="https://doi.org/10.1007/s13253-010-0027-5" TargetMode="External"/><Relationship Id="rId27" Type="http://schemas.openxmlformats.org/officeDocument/2006/relationships/hyperlink" Target="https://doi.org/10.1111/j.1523-1739.2007.00743.x" TargetMode="External"/><Relationship Id="rId30" Type="http://schemas.openxmlformats.org/officeDocument/2006/relationships/hyperlink" Target="https://doi.org/10.1086/598499" TargetMode="External"/><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5125</Words>
  <Characters>29215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aebratt</dc:creator>
  <cp:keywords/>
  <cp:lastModifiedBy>Amanda Warlick</cp:lastModifiedBy>
  <cp:revision>2</cp:revision>
  <dcterms:created xsi:type="dcterms:W3CDTF">2020-12-15T03:25:00Z</dcterms:created>
  <dcterms:modified xsi:type="dcterms:W3CDTF">2020-12-15T03:25:00Z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