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1C91F" w14:textId="07A8855B" w:rsidR="00E15154" w:rsidRDefault="00E15154">
      <w:r>
        <w:t>Option A: Gamma is restricted to be &gt;= 1.0001 in power and depensatory Beverton-Holt models.</w:t>
      </w:r>
    </w:p>
    <w:p w14:paraId="211140E0" w14:textId="03EC16FB" w:rsidR="00E15154" w:rsidRDefault="00E15154">
      <w:r>
        <w:rPr>
          <w:noProof/>
        </w:rPr>
        <w:drawing>
          <wp:inline distT="0" distB="0" distL="0" distR="0" wp14:anchorId="78D168B8" wp14:editId="53B00D37">
            <wp:extent cx="4206240" cy="3235569"/>
            <wp:effectExtent l="0" t="0" r="381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4632" w14:textId="13CC4579" w:rsidR="00E15154" w:rsidRDefault="00E15154">
      <w:r>
        <w:t xml:space="preserve">Option B: Gamma is </w:t>
      </w:r>
      <w:r w:rsidR="00507251">
        <w:t>just restricted to being positive</w:t>
      </w:r>
    </w:p>
    <w:p w14:paraId="1E91FAD1" w14:textId="5023EF49" w:rsidR="00507251" w:rsidRDefault="00507251">
      <w:r>
        <w:rPr>
          <w:noProof/>
        </w:rPr>
        <w:drawing>
          <wp:inline distT="0" distB="0" distL="0" distR="0" wp14:anchorId="0D9FAAED" wp14:editId="2987F3E9">
            <wp:extent cx="4160521" cy="3200400"/>
            <wp:effectExtent l="0" t="0" r="0" b="0"/>
            <wp:docPr id="2" name="Picture 2" descr="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5"/>
    <w:rsid w:val="00507251"/>
    <w:rsid w:val="007D4A9D"/>
    <w:rsid w:val="00C3285B"/>
    <w:rsid w:val="00C802A0"/>
    <w:rsid w:val="00D64C55"/>
    <w:rsid w:val="00E1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4CC"/>
  <w15:chartTrackingRefBased/>
  <w15:docId w15:val="{6E7DD6FB-3C62-41AA-82E4-18EAEA41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marks6</dc:creator>
  <cp:keywords/>
  <dc:description/>
  <cp:lastModifiedBy>marks6</cp:lastModifiedBy>
  <cp:revision>3</cp:revision>
  <dcterms:created xsi:type="dcterms:W3CDTF">2020-11-17T00:06:00Z</dcterms:created>
  <dcterms:modified xsi:type="dcterms:W3CDTF">2020-11-17T00:09:00Z</dcterms:modified>
</cp:coreProperties>
</file>