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right="600" w:firstLine="0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  <w:t xml:space="preserve">See this Introduction to Journal Articles. In particular, on the right side of the page, each of the sections of a paper is discussed, with detailed advice on how to approach each of these sections.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https://mitcommlab.mit.edu/nse/commkit/introduction-to-manuscripts/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right="1200" w:firstLine="0"/>
        <w:rPr>
          <w:color w:val="1155cc"/>
          <w:highlight w:val="white"/>
          <w:u w:val="single"/>
        </w:rPr>
      </w:pPr>
      <w:r w:rsidDel="00000000" w:rsidR="00000000" w:rsidRPr="00000000">
        <w:rPr>
          <w:rtl w:val="0"/>
        </w:rPr>
        <w:t xml:space="preserve">An essay, “Simple rules for concise writing:”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https://aslopubs.onlinelibrary.wiley.com/doi/full/10.1002/lol2.10165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itcommlab.mit.edu/nse/commkit/introduction-to-manuscripts/" TargetMode="External"/><Relationship Id="rId7" Type="http://schemas.openxmlformats.org/officeDocument/2006/relationships/hyperlink" Target="https://aslopubs.onlinelibrary.wiley.com/doi/full/10.1002/lol2.101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