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E6111" w14:textId="7A1677C3" w:rsidR="005F1EEE" w:rsidRPr="005F1EEE" w:rsidRDefault="005F1EEE" w:rsidP="00E97F80">
      <w:pPr>
        <w:spacing w:line="360" w:lineRule="auto"/>
        <w:jc w:val="both"/>
        <w:rPr>
          <w:rFonts w:ascii="Times New Roman" w:hAnsi="Times New Roman" w:cs="Times New Roman"/>
          <w:b/>
          <w:bCs/>
          <w:i/>
          <w:iCs/>
          <w:sz w:val="24"/>
          <w:szCs w:val="24"/>
        </w:rPr>
      </w:pPr>
      <w:r w:rsidRPr="005F1EEE">
        <w:rPr>
          <w:rFonts w:ascii="Times New Roman" w:hAnsi="Times New Roman" w:cs="Times New Roman"/>
          <w:b/>
          <w:bCs/>
          <w:i/>
          <w:iCs/>
          <w:sz w:val="24"/>
          <w:szCs w:val="24"/>
        </w:rPr>
        <w:t>CH 1</w:t>
      </w:r>
    </w:p>
    <w:p w14:paraId="3074C16B" w14:textId="25367C61" w:rsidR="00E97F80" w:rsidRDefault="00E97F80" w:rsidP="00E97F80">
      <w:pPr>
        <w:spacing w:line="360" w:lineRule="auto"/>
        <w:jc w:val="both"/>
        <w:rPr>
          <w:rFonts w:ascii="Times New Roman" w:hAnsi="Times New Roman" w:cs="Times New Roman"/>
          <w:i/>
          <w:iCs/>
          <w:sz w:val="24"/>
          <w:szCs w:val="24"/>
        </w:rPr>
      </w:pPr>
      <w:r w:rsidRPr="005247A3">
        <w:rPr>
          <w:rFonts w:ascii="Times New Roman" w:hAnsi="Times New Roman" w:cs="Times New Roman"/>
          <w:i/>
          <w:iCs/>
          <w:sz w:val="24"/>
          <w:szCs w:val="24"/>
        </w:rPr>
        <w:t>Movement ecology</w:t>
      </w:r>
      <w:r>
        <w:rPr>
          <w:rFonts w:ascii="Times New Roman" w:hAnsi="Times New Roman" w:cs="Times New Roman"/>
          <w:i/>
          <w:iCs/>
          <w:sz w:val="24"/>
          <w:szCs w:val="24"/>
        </w:rPr>
        <w:t xml:space="preserve"> in wildlife</w:t>
      </w:r>
      <w:r w:rsidRPr="005247A3">
        <w:rPr>
          <w:rFonts w:ascii="Times New Roman" w:hAnsi="Times New Roman" w:cs="Times New Roman"/>
          <w:i/>
          <w:iCs/>
          <w:sz w:val="24"/>
          <w:szCs w:val="24"/>
        </w:rPr>
        <w:t xml:space="preserve"> </w:t>
      </w:r>
      <w:r>
        <w:rPr>
          <w:rFonts w:ascii="Times New Roman" w:hAnsi="Times New Roman" w:cs="Times New Roman"/>
          <w:i/>
          <w:iCs/>
          <w:sz w:val="24"/>
          <w:szCs w:val="24"/>
        </w:rPr>
        <w:t>– an overview</w:t>
      </w:r>
    </w:p>
    <w:p w14:paraId="0A2CE351" w14:textId="77777777" w:rsidR="00E97F80" w:rsidRDefault="00E97F80" w:rsidP="00E97F80">
      <w:pPr>
        <w:spacing w:line="360" w:lineRule="auto"/>
        <w:jc w:val="both"/>
        <w:rPr>
          <w:rFonts w:ascii="Times New Roman" w:eastAsia="Calibri" w:hAnsi="Times New Roman" w:cs="Times New Roman"/>
          <w:sz w:val="24"/>
          <w:szCs w:val="24"/>
        </w:rPr>
      </w:pPr>
      <w:r>
        <w:rPr>
          <w:rFonts w:ascii="Times New Roman" w:hAnsi="Times New Roman" w:cs="Times New Roman"/>
          <w:sz w:val="24"/>
          <w:szCs w:val="24"/>
        </w:rPr>
        <w:t xml:space="preserve">Movement is ubiquitous throughout the life cycle of countless species. It is an essential characteristic of life that </w:t>
      </w:r>
      <w:r w:rsidRPr="00F26C82">
        <w:rPr>
          <w:rFonts w:ascii="Times New Roman" w:hAnsi="Times New Roman" w:cs="Times New Roman"/>
          <w:sz w:val="24"/>
          <w:szCs w:val="24"/>
        </w:rPr>
        <w:t xml:space="preserve">shapes </w:t>
      </w:r>
      <w:r>
        <w:rPr>
          <w:rFonts w:ascii="Times New Roman" w:hAnsi="Times New Roman" w:cs="Times New Roman"/>
          <w:sz w:val="24"/>
          <w:szCs w:val="24"/>
        </w:rPr>
        <w:t xml:space="preserve">numerous </w:t>
      </w:r>
      <w:r w:rsidRPr="00F26C82">
        <w:rPr>
          <w:rFonts w:ascii="Times New Roman" w:hAnsi="Times New Roman" w:cs="Times New Roman"/>
          <w:sz w:val="24"/>
          <w:szCs w:val="24"/>
        </w:rPr>
        <w:t xml:space="preserve">ecological processes </w:t>
      </w:r>
      <w:r w:rsidRPr="00F26C8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{"citationID":"rt58dxqK","properties":{"formattedCitation":"(Nathan et al., 2008, 2022)","plainCitation":"(Nathan et al., 2008, 2022)","noteIndex":0},"citationItems":[{"id":497,"uris":["http://zotero.org/users/local/jVwUbr6F/items/VSRL3GK7","http://zotero.org/users/6254983/items/VSRL3GK7"],"itemData":{"id":497,"type":"article-journal","abstract":"Movement of individual organisms is fundamental to life, quilting our planet in a rich tapestry of phenomena with diverse implications for ecosystems and humans. Movement research is both plentiful and insightful, and recent methodological advances facilitate obtaining a detailed view of individual movement. Yet, we lack a general unifying paradigm, derived from first principles, which can place movement studies within a common context and advance the development of a mature scientific discipline. This introductory article to the Movement Ecology Special Feature proposes a paradigm that integrates conceptual, theoretical, methodological, and empirical frameworks for studying movement of all organisms, from microbes to trees to elephants. We introduce a conceptual framework depicting the interplay among four basic mechanistic components of organismal movement: the internal state (why move?), motion (how to move?), and navigation (when and where to move?) capacities of the individual and the external factors affecting movement. We demonstrate how the proposed framework aids the study of various taxa and movement types; promotes the formulation of hypotheses about movement; and complements existing biomechanical, cognitive, random, and optimality paradigms of movement. The proposed framework integrates eclectic research on movement into a structured paradigm and aims at providing a basis for hypothesis generation and a vehicle facilitating the understanding of the causes, mechanisms, and spatiotemporal patterns of movement and their role in various ecological and evolutionary processes.\n            \n              ”Now we must consider in general the common reason for moving with any movement whatever.“ (Aristotle,\n              De Motu Animalium\n              , 4th century B.C.)","container-title":"Proceedings of the National Academy of Sciences","DOI":"10.1073/pnas.0800375105","ISSN":"0027-8424, 1091-6490","issue":"49","journalAbbreviation":"Proc. Natl. Acad. Sci. U.S.A.","language":"en","page":"19052-19059","source":"DOI.org (Crossref)","title":"A movement ecology paradigm for unifying organismal movement research","volume":"105","author":[{"family":"Nathan","given":"Ran"},{"family":"Getz","given":"Wayne M."},{"family":"Revilla","given":"Eloy"},{"family":"Holyoak","given":"Marcel"},{"family":"Kadmon","given":"Ronen"},{"family":"Saltz","given":"David"},{"family":"Smouse","given":"Peter E."}],"issued":{"date-parts":[["2008",12,9]]}}},{"id":501,"uris":["http://zotero.org/users/local/jVwUbr6F/items/KZZZYP8P","http://zotero.org/users/6254983/items/KZZZYP8P"],"itemData":{"id":501,"type":"article-journal","abstract":"Understanding animal movement is essential to elucidate how animals interact, survive, and thrive in a changing world. Recent technological advances in data collection and management have transformed our understanding of animal “movement ecology” (the integrated study of organismal movement), creating a big-data discipline that benefits from rapid, cost-effective generation of large amounts of data on movements of animals in the wild. These high-throughput wildlife tracking systems now allow more thorough investigation of variation among individuals and species across space and time, the nature of biological interactions, and behavioral responses to the environment. Movement ecology is rapidly expanding scientific frontiers through large interdisciplinary and collaborative frameworks, providing improved opportunities for conservation and insights into the movements of wild animals, and their causes and consequences.\n          , \n            Animal tracking in a big data world\n            \n              So-called “big-data” approaches have revolutionized fields of research from astronomy to genetics. Such approaches are not limited to fields that seem inherently technical, because the combination of rapid data collection and advanced analytical techniques could be applied to almost any scientific question. Nathan\n              et al\n              . reviewed how these modern approaches are being applied to the very old field of animal tracking and monitoring. Large-scale data collection can reveal details about how animals use their environment and interact with each other that were impossible to explore previously. Such methodological shifts will open new avenues of research—and conservation—across species. —SNV\n            \n          , \n            A review suggests that modern “big-data” techniques are vastly increasing our understanding of animal movement and its ecology.\n          , \n            \n              BACKGROUND\n              Movement is ubiquitous across the natural world. All organisms move, actively or passively, regularly or during specific life stages, as a result of varied proximate drivers including energetic demands, social interactions, competition or predation. Movement closely interacts with individual fitness, affects a myriad of ecological processes, and is crucial for animals’ ability to cope with human-induced rapid environmental changes. Driven by advances in analytical methods and technologies for tracking mammals, birds, fish, and other free-ranging vertebrates (hereafter, wildlife), movement ecology is rapidly transforming into a data-rich discipline, following previous developments in fields such as genomics and environmental monitoring. This ongoing revolution is facilitated by cost-effective automated high-throughput wildlife tracking systems that generate massive high-resolution datasets across scales relevant to the ecological context in which animals perceive, interact with, and respond to their environment.\n            \n            \n              ADVANCES\n              Modern tracking technologies efficiently generate copious, accurate information on the movements of multiple individual animals in the wild. Reverse-GPS technologies, which primarily use acoustic signals under water and radio signals over land, are automated high-throughput systems that are highly cost- and power-effective and capable of simultaneous tracking of multiple small animals (e.g., 20-g birds) at high spatiotemporal resolution (e.g., 1-s interval, a few meters) for months, but they require system installation and are usually limited to regional scales (≤100 km wide). GPS-based systems are, by contrast, readily available, longer term, and cover nearly global scales, but are similarly spatially accurate and periodically capable of high-resolution tracking at regional scales. However, they are more cost- and power-demanding, limited to larger animals, and cannot be applied under water. Two other tracking technologies, radar and computer vision, permit high-resolution snapshots of the movement of multiple individuals and can noninvasively track nontagged animals, but are less cost-effective, usually limited to smaller scales, and make individual identification challenging. Combined, these high-throughput technologies enable groundbreaking research in animal behavior, cognitive sciences, evolution, and ecology, facilitating previously infeasible investigation of animal movement ecology. Big movement data can help link interindividual variation in movement to individual behavior, traits, cognition and physiology; divulge fine-scale interactions within or among species; improve evidence-based management of human-wildlife interactions; and elucidate behavioral changes across spatiotemporal scales.\n            \n            \n              OUTLOOK\n              High-throughput wildlife tracking technologies are opening new research frontiers in biology and ecology. Their advantages, however, come with typical big-data costs such as computational load, intensive data management and processing, and challenging statistical analyses. Enlisting fields with a longer history of big data offers new prospects to address these challenges. Progress will arise from combining observational and experimental movement ecology and data-rich studies revealing behavioral shifts across individuals, species, scales, ecosystems, and life stages. High-resolution wildlife tracking is currently infeasible at large to global scales, a key limitation that can be addressed by combining low- and high-rate sampling, increasing interoperability between technologies, standardizing and sharing data, and promoting multidisciplinary international collaboration. Coupling movement and environmental big data could help determine impacts of major environmental and climate changes on animal–environment interactions, whereas real-time movement data could uniquely inform biodiversity conservation and ecosystem management.\n              \n                \n                  Why do high-throughput movement data matter?\n                  Big movement data are essential for addressing key ecological questions, as conclusions based on traditional lower-resolution data could differ markedly from the correct conclusions. We illustrate several examples for contrasting conclusions derived from lower- versus higher-resolution data of the same tracks from the same number of animals. Higher-resolution data can reveal that bolder birds visit more sites across the landscape and that bird tracks frequently cross each other, suggesting high potential for disease transmission, and that fish avoid fisheries and frequently search locally within small patches. None of these conclusions, however, could have been drawn from lower-resolution data. See also movies S1 to S5.","container-title":"Science","DOI":"10.1126/science.abg1780","ISSN":"0036-8075, 1095-9203","issue":"6582","journalAbbreviation":"Science","language":"en","page":"eabg1780","source":"DOI.org (Crossref)","title":"Big-data approaches lead to an increased understanding of the ecology of animal movement","volume":"375","author":[{"family":"Nathan","given":"Ran"},{"family":"Monk","given":"Christopher T."},{"family":"Arlinghaus","given":"Robert"},{"family":"Adam","given":"Timo"},{"family":"Alós","given":"Josep"},{"family":"Assaf","given":"Michael"},{"family":"Baktoft","given":"Henrik"},{"family":"Beardsworth","given":"Christine E."},{"family":"Bertram","given":"Michael G."},{"family":"Bijleveld","given":"Allert I."},{"family":"Brodin","given":"Tomas"},{"family":"Brooks","given":"Jill L."},{"family":"Campos-Candela","given":"Andrea"},{"family":"Cooke","given":"Steven J."},{"family":"Gjelland","given":"Karl Ø."},{"family":"Gupte","given":"Pratik R."},{"family":"Harel","given":"Roi"},{"family":"Hellström","given":"Gustav"},{"family":"Jeltsch","given":"Florian"},{"family":"Killen","given":"Shaun S."},{"family":"Klefoth","given":"Thomas"},{"family":"Langrock","given":"Roland"},{"family":"Lennox","given":"Robert J."},{"family":"Lourie","given":"Emmanuel"},{"family":"Madden","given":"Joah R."},{"family":"Orchan","given":"Yotam"},{"family":"Pauwels","given":"Ine S."},{"family":"Říha","given":"Milan"},{"family":"Roeleke","given":"Manuel"},{"family":"Schlägel","given":"Ulrike E."},{"family":"Shohami","given":"David"},{"family":"Signer","given":"Johannes"},{"family":"Toledo","given":"Sivan"},{"family":"Vilk","given":"Ohad"},{"family":"Westrelin","given":"Samuel"},{"family":"Whiteside","given":"Mark A."},{"family":"Jarić","given":"Ivan"}],"issued":{"date-parts":[["2022",2,18]]}}}],"schema":"https://github.com/citation-style-language/schema/raw/master/csl-citation.json"} </w:instrText>
      </w:r>
      <w:r w:rsidRPr="00F26C82">
        <w:rPr>
          <w:rFonts w:ascii="Times New Roman" w:hAnsi="Times New Roman" w:cs="Times New Roman"/>
          <w:sz w:val="24"/>
          <w:szCs w:val="24"/>
        </w:rPr>
        <w:fldChar w:fldCharType="separate"/>
      </w:r>
      <w:r w:rsidRPr="00F26C82">
        <w:rPr>
          <w:rFonts w:ascii="Times New Roman" w:hAnsi="Times New Roman" w:cs="Times New Roman"/>
          <w:sz w:val="24"/>
          <w:szCs w:val="24"/>
        </w:rPr>
        <w:t>(Nathan et al., 2008)</w:t>
      </w:r>
      <w:r w:rsidRPr="00F26C82">
        <w:rPr>
          <w:rFonts w:ascii="Times New Roman" w:hAnsi="Times New Roman" w:cs="Times New Roman"/>
          <w:sz w:val="24"/>
          <w:szCs w:val="24"/>
        </w:rPr>
        <w:fldChar w:fldCharType="end"/>
      </w:r>
      <w:r>
        <w:rPr>
          <w:rFonts w:ascii="Times New Roman" w:hAnsi="Times New Roman" w:cs="Times New Roman"/>
          <w:sz w:val="24"/>
          <w:szCs w:val="24"/>
        </w:rPr>
        <w:t>,</w:t>
      </w:r>
      <w:r w:rsidRPr="00F26C82">
        <w:rPr>
          <w:rFonts w:ascii="Times New Roman" w:hAnsi="Times New Roman" w:cs="Times New Roman"/>
          <w:sz w:val="24"/>
          <w:szCs w:val="24"/>
        </w:rPr>
        <w:t xml:space="preserve"> including the search for food (</w:t>
      </w:r>
      <w:proofErr w:type="spellStart"/>
      <w:r w:rsidRPr="00F26C82">
        <w:rPr>
          <w:rFonts w:ascii="Times New Roman" w:hAnsi="Times New Roman" w:cs="Times New Roman"/>
          <w:sz w:val="24"/>
          <w:szCs w:val="24"/>
        </w:rPr>
        <w:t>Zuberogoitia</w:t>
      </w:r>
      <w:proofErr w:type="spellEnd"/>
      <w:r w:rsidRPr="00F26C82">
        <w:rPr>
          <w:rFonts w:ascii="Times New Roman" w:hAnsi="Times New Roman" w:cs="Times New Roman"/>
          <w:sz w:val="24"/>
          <w:szCs w:val="24"/>
        </w:rPr>
        <w:t xml:space="preserve"> et al. 2012), mates</w:t>
      </w:r>
      <w:hyperlink w:history="1"/>
      <w:r w:rsidRPr="00F26C82">
        <w:rPr>
          <w:rFonts w:ascii="Times New Roman" w:hAnsi="Times New Roman" w:cs="Times New Roman"/>
          <w:sz w:val="24"/>
          <w:szCs w:val="24"/>
        </w:rPr>
        <w:t>, breeding areas (Gregory et al. 2010), as well as the avoidance of detrimental factors such as predators (</w:t>
      </w:r>
      <w:r w:rsidRPr="00F26C82">
        <w:rPr>
          <w:rFonts w:ascii="Times New Roman" w:eastAsia="Calibri" w:hAnsi="Times New Roman" w:cs="Times New Roman"/>
          <w:sz w:val="24"/>
          <w:szCs w:val="24"/>
        </w:rPr>
        <w:t>Fortin et al. 2005</w:t>
      </w:r>
      <w:r w:rsidRPr="00F26C82">
        <w:rPr>
          <w:rFonts w:ascii="Times New Roman" w:hAnsi="Times New Roman" w:cs="Times New Roman"/>
          <w:sz w:val="24"/>
          <w:szCs w:val="24"/>
        </w:rPr>
        <w:t>), disease, or competitors (</w:t>
      </w:r>
      <w:hyperlink r:id="rId4" w:history="1">
        <w:r w:rsidRPr="00F26C82">
          <w:rPr>
            <w:rStyle w:val="Hyperlink"/>
            <w:rFonts w:ascii="Times New Roman" w:hAnsi="Times New Roman" w:cs="Times New Roman"/>
            <w:sz w:val="24"/>
            <w:szCs w:val="24"/>
          </w:rPr>
          <w:t>Hayward</w:t>
        </w:r>
      </w:hyperlink>
      <w:r w:rsidRPr="00F26C82">
        <w:rPr>
          <w:rStyle w:val="Hyperlink"/>
          <w:rFonts w:ascii="Times New Roman" w:hAnsi="Times New Roman" w:cs="Times New Roman"/>
          <w:sz w:val="24"/>
          <w:szCs w:val="24"/>
        </w:rPr>
        <w:t xml:space="preserve"> &amp; </w:t>
      </w:r>
      <w:proofErr w:type="spellStart"/>
      <w:r w:rsidRPr="00F26C82">
        <w:rPr>
          <w:rStyle w:val="Hyperlink"/>
          <w:rFonts w:ascii="Times New Roman" w:hAnsi="Times New Roman" w:cs="Times New Roman"/>
          <w:sz w:val="24"/>
          <w:szCs w:val="24"/>
        </w:rPr>
        <w:t>Slotow</w:t>
      </w:r>
      <w:proofErr w:type="spellEnd"/>
      <w:r w:rsidRPr="00F26C82">
        <w:rPr>
          <w:rStyle w:val="Hyperlink"/>
          <w:rFonts w:ascii="Times New Roman" w:hAnsi="Times New Roman" w:cs="Times New Roman"/>
          <w:sz w:val="24"/>
          <w:szCs w:val="24"/>
        </w:rPr>
        <w:t xml:space="preserve"> 2009</w:t>
      </w:r>
      <w:r w:rsidRPr="00F26C82">
        <w:rPr>
          <w:rFonts w:ascii="Times New Roman" w:hAnsi="Times New Roman" w:cs="Times New Roman"/>
          <w:sz w:val="24"/>
          <w:szCs w:val="24"/>
        </w:rPr>
        <w:t xml:space="preserve">). Movement can thus be considered a fundamental component of many </w:t>
      </w:r>
      <w:r>
        <w:rPr>
          <w:rFonts w:ascii="Times New Roman" w:hAnsi="Times New Roman" w:cs="Times New Roman"/>
          <w:sz w:val="24"/>
          <w:szCs w:val="24"/>
        </w:rPr>
        <w:t xml:space="preserve">species’ ecology, and, consequently, </w:t>
      </w:r>
      <w:r w:rsidRPr="00F5245A">
        <w:rPr>
          <w:rFonts w:ascii="Times New Roman" w:hAnsi="Times New Roman" w:cs="Times New Roman"/>
          <w:sz w:val="24"/>
          <w:szCs w:val="24"/>
        </w:rPr>
        <w:t>of key interest in many scientific fields</w:t>
      </w:r>
      <w:r>
        <w:rPr>
          <w:rFonts w:ascii="Times New Roman" w:hAnsi="Times New Roman" w:cs="Times New Roman"/>
          <w:sz w:val="24"/>
          <w:szCs w:val="24"/>
        </w:rPr>
        <w:t xml:space="preserve"> within ecology. The unifying framework under which this is studied is termed ‘</w:t>
      </w:r>
      <w:r w:rsidRPr="00B409AF">
        <w:rPr>
          <w:rFonts w:ascii="Times New Roman" w:hAnsi="Times New Roman" w:cs="Times New Roman"/>
          <w:i/>
          <w:iCs/>
          <w:sz w:val="24"/>
          <w:szCs w:val="24"/>
        </w:rPr>
        <w:t>movement ecology</w:t>
      </w:r>
      <w:r>
        <w:rPr>
          <w:rFonts w:ascii="Times New Roman" w:hAnsi="Times New Roman" w:cs="Times New Roman"/>
          <w:sz w:val="24"/>
          <w:szCs w:val="24"/>
        </w:rPr>
        <w:t>’</w:t>
      </w:r>
      <w:r>
        <w:rPr>
          <w:rFonts w:ascii="Times New Roman" w:eastAsia="Calibri" w:hAnsi="Times New Roman" w:cs="Times New Roman"/>
          <w:sz w:val="24"/>
          <w:szCs w:val="24"/>
        </w:rPr>
        <w:t xml:space="preserve">. </w:t>
      </w:r>
    </w:p>
    <w:p w14:paraId="77194BCD" w14:textId="77777777" w:rsidR="00E97F80" w:rsidRDefault="00E97F80" w:rsidP="00E97F80">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i">
            <w:drawing>
              <wp:anchor distT="0" distB="0" distL="114300" distR="114300" simplePos="0" relativeHeight="251660288" behindDoc="0" locked="0" layoutInCell="1" allowOverlap="1" wp14:anchorId="207DEC37" wp14:editId="19DBAD75">
                <wp:simplePos x="0" y="0"/>
                <wp:positionH relativeFrom="column">
                  <wp:posOffset>7749700</wp:posOffset>
                </wp:positionH>
                <wp:positionV relativeFrom="paragraph">
                  <wp:posOffset>3976360</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7629C5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609.5pt;margin-top:312.4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UcBl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">
                <v:imagedata r:id="rId6" o:title=""/>
              </v:shape>
            </w:pict>
          </mc:Fallback>
        </mc:AlternateContent>
      </w:r>
      <w:r>
        <w:rPr>
          <w:rFonts w:ascii="Times New Roman" w:eastAsia="Calibri" w:hAnsi="Times New Roman" w:cs="Times New Roman"/>
          <w:noProof/>
          <w:sz w:val="24"/>
          <w:szCs w:val="24"/>
        </w:rPr>
        <mc:AlternateContent>
          <mc:Choice Requires="wpi">
            <w:drawing>
              <wp:anchor distT="0" distB="0" distL="114300" distR="114300" simplePos="0" relativeHeight="251659264" behindDoc="0" locked="0" layoutInCell="1" allowOverlap="1" wp14:anchorId="1B9A332E" wp14:editId="05AA1EBE">
                <wp:simplePos x="0" y="0"/>
                <wp:positionH relativeFrom="column">
                  <wp:posOffset>7895860</wp:posOffset>
                </wp:positionH>
                <wp:positionV relativeFrom="paragraph">
                  <wp:posOffset>3935680</wp:posOffset>
                </wp:positionV>
                <wp:extent cx="360" cy="360"/>
                <wp:effectExtent l="38100" t="38100" r="57150" b="5715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381A844E" id="Ink 10" o:spid="_x0000_s1026" type="#_x0000_t75" style="position:absolute;margin-left:621pt;margin-top:309.2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">
                <v:imagedata r:id="rId6" o:title=""/>
              </v:shape>
            </w:pict>
          </mc:Fallback>
        </mc:AlternateContent>
      </w:r>
      <w:r>
        <w:rPr>
          <w:rFonts w:ascii="Times New Roman" w:eastAsia="Calibri" w:hAnsi="Times New Roman" w:cs="Times New Roman"/>
          <w:sz w:val="24"/>
          <w:szCs w:val="24"/>
        </w:rPr>
        <w:t xml:space="preserve">A key driver of animal movement is often related to habitat quality (e.g., availability of resources Johnson 2007), and although this may be evident during the breeding period, this selection also drives animal movement throughout the whole annual cycle. Whilst resource availability drives movements over relatively large </w:t>
      </w:r>
      <w:proofErr w:type="spellStart"/>
      <w:r>
        <w:rPr>
          <w:rFonts w:ascii="Times New Roman" w:eastAsia="Calibri" w:hAnsi="Times New Roman" w:cs="Times New Roman"/>
          <w:sz w:val="24"/>
          <w:szCs w:val="24"/>
        </w:rPr>
        <w:t>spatio</w:t>
      </w:r>
      <w:proofErr w:type="spellEnd"/>
      <w:r>
        <w:rPr>
          <w:rFonts w:ascii="Times New Roman" w:eastAsia="Calibri" w:hAnsi="Times New Roman" w:cs="Times New Roman"/>
          <w:sz w:val="24"/>
          <w:szCs w:val="24"/>
        </w:rPr>
        <w:t xml:space="preserve">-temporal scales with impacts on species’ biogeographic ranges and their population-level spatial structuring (e.g., migration), it can also occur </w:t>
      </w:r>
      <w:r w:rsidRPr="3FDF4705">
        <w:rPr>
          <w:rFonts w:ascii="Times New Roman" w:eastAsia="Calibri" w:hAnsi="Times New Roman" w:cs="Times New Roman"/>
          <w:sz w:val="24"/>
          <w:szCs w:val="24"/>
        </w:rPr>
        <w:t xml:space="preserve">at a </w:t>
      </w:r>
      <w:r>
        <w:rPr>
          <w:rFonts w:ascii="Times New Roman" w:eastAsia="Calibri" w:hAnsi="Times New Roman" w:cs="Times New Roman"/>
          <w:sz w:val="24"/>
          <w:szCs w:val="24"/>
        </w:rPr>
        <w:t xml:space="preserve">smaller </w:t>
      </w:r>
      <w:proofErr w:type="spellStart"/>
      <w:r>
        <w:rPr>
          <w:rFonts w:ascii="Times New Roman" w:eastAsia="Calibri" w:hAnsi="Times New Roman" w:cs="Times New Roman"/>
          <w:sz w:val="24"/>
          <w:szCs w:val="24"/>
        </w:rPr>
        <w:t>spatio</w:t>
      </w:r>
      <w:proofErr w:type="spellEnd"/>
      <w:r>
        <w:rPr>
          <w:rFonts w:ascii="Times New Roman" w:eastAsia="Calibri" w:hAnsi="Times New Roman" w:cs="Times New Roman"/>
          <w:sz w:val="24"/>
          <w:szCs w:val="24"/>
        </w:rPr>
        <w:t xml:space="preserve">-temporal </w:t>
      </w:r>
      <w:r w:rsidRPr="3FDF4705">
        <w:rPr>
          <w:rFonts w:ascii="Times New Roman" w:eastAsia="Calibri" w:hAnsi="Times New Roman" w:cs="Times New Roman"/>
          <w:sz w:val="24"/>
          <w:szCs w:val="24"/>
        </w:rPr>
        <w:t>scale</w:t>
      </w:r>
      <w:r>
        <w:rPr>
          <w:rFonts w:ascii="Times New Roman" w:eastAsia="Calibri" w:hAnsi="Times New Roman" w:cs="Times New Roman"/>
          <w:sz w:val="24"/>
          <w:szCs w:val="24"/>
        </w:rPr>
        <w:t xml:space="preserve"> (range-resident species)</w:t>
      </w:r>
      <w:r w:rsidRPr="3FDF4705">
        <w:rPr>
          <w:rFonts w:ascii="Times New Roman" w:eastAsia="Calibri" w:hAnsi="Times New Roman" w:cs="Times New Roman"/>
          <w:sz w:val="24"/>
          <w:szCs w:val="24"/>
        </w:rPr>
        <w:t>, but show a similar pattern t</w:t>
      </w:r>
      <w:r>
        <w:rPr>
          <w:rFonts w:ascii="Times New Roman" w:eastAsia="Calibri" w:hAnsi="Times New Roman" w:cs="Times New Roman"/>
          <w:sz w:val="24"/>
          <w:szCs w:val="24"/>
        </w:rPr>
        <w:t>o</w:t>
      </w:r>
      <w:r w:rsidRPr="3FDF4705">
        <w:rPr>
          <w:rFonts w:ascii="Times New Roman" w:eastAsia="Calibri" w:hAnsi="Times New Roman" w:cs="Times New Roman"/>
          <w:sz w:val="24"/>
          <w:szCs w:val="24"/>
        </w:rPr>
        <w:t xml:space="preserve"> migration behavior nevertheless</w:t>
      </w: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e.g.</w:t>
      </w:r>
      <w:proofErr w:type="gramEnd"/>
      <w:r>
        <w:rPr>
          <w:rFonts w:ascii="Times New Roman" w:eastAsia="Calibri" w:hAnsi="Times New Roman" w:cs="Times New Roman"/>
          <w:sz w:val="24"/>
          <w:szCs w:val="24"/>
        </w:rPr>
        <w:t xml:space="preserve"> </w:t>
      </w:r>
      <w:r w:rsidRPr="3FDF4705">
        <w:rPr>
          <w:rFonts w:ascii="Times New Roman" w:eastAsia="Calibri" w:hAnsi="Times New Roman" w:cs="Times New Roman"/>
          <w:sz w:val="24"/>
          <w:szCs w:val="24"/>
        </w:rPr>
        <w:t xml:space="preserve">Benhamou </w:t>
      </w:r>
      <w:r>
        <w:rPr>
          <w:rFonts w:ascii="Times New Roman" w:eastAsia="Calibri" w:hAnsi="Times New Roman" w:cs="Times New Roman"/>
          <w:sz w:val="24"/>
          <w:szCs w:val="24"/>
        </w:rPr>
        <w:t>2014). Alongside</w:t>
      </w:r>
      <w:r w:rsidRPr="7D3D9A8E">
        <w:rPr>
          <w:rFonts w:ascii="Times New Roman" w:eastAsia="Calibri" w:hAnsi="Times New Roman" w:cs="Times New Roman"/>
          <w:sz w:val="24"/>
          <w:szCs w:val="24"/>
        </w:rPr>
        <w:t xml:space="preserve"> resource abundance, population dynamics also play a role in animals’ movement</w:t>
      </w:r>
      <w:r>
        <w:rPr>
          <w:rFonts w:ascii="Times New Roman" w:eastAsia="Calibri" w:hAnsi="Times New Roman" w:cs="Times New Roman"/>
          <w:sz w:val="24"/>
          <w:szCs w:val="24"/>
        </w:rPr>
        <w:t xml:space="preserve">, where </w:t>
      </w:r>
      <w:r w:rsidRPr="7D3D9A8E">
        <w:rPr>
          <w:rFonts w:ascii="Times New Roman" w:eastAsia="Calibri" w:hAnsi="Times New Roman" w:cs="Times New Roman"/>
          <w:sz w:val="24"/>
          <w:szCs w:val="24"/>
        </w:rPr>
        <w:t xml:space="preserve">density-dependent selection </w:t>
      </w:r>
      <w:r>
        <w:rPr>
          <w:rFonts w:ascii="Times New Roman" w:eastAsia="Calibri" w:hAnsi="Times New Roman" w:cs="Times New Roman"/>
          <w:sz w:val="24"/>
          <w:szCs w:val="24"/>
        </w:rPr>
        <w:t>favors certain individuals whilst others are displaced to less optimal habitats (</w:t>
      </w:r>
      <w:r w:rsidRPr="7D3D9A8E">
        <w:rPr>
          <w:rFonts w:ascii="Times New Roman" w:eastAsia="Calibri" w:hAnsi="Times New Roman" w:cs="Times New Roman"/>
          <w:sz w:val="24"/>
          <w:szCs w:val="24"/>
        </w:rPr>
        <w:t>Fortin et al. 200</w:t>
      </w:r>
      <w:r>
        <w:rPr>
          <w:rFonts w:ascii="Times New Roman" w:eastAsia="Calibri" w:hAnsi="Times New Roman" w:cs="Times New Roman"/>
          <w:sz w:val="24"/>
          <w:szCs w:val="24"/>
        </w:rPr>
        <w:t>5).</w:t>
      </w:r>
      <w:bookmarkStart w:id="0" w:name="_Hlk149123646"/>
      <w:r>
        <w:rPr>
          <w:rFonts w:ascii="Times New Roman" w:eastAsia="Calibri" w:hAnsi="Times New Roman" w:cs="Times New Roman"/>
          <w:sz w:val="24"/>
          <w:szCs w:val="24"/>
        </w:rPr>
        <w:t xml:space="preserve"> </w:t>
      </w:r>
      <w:r w:rsidRPr="7D3D9A8E">
        <w:rPr>
          <w:rFonts w:ascii="Times New Roman" w:eastAsia="Calibri" w:hAnsi="Times New Roman" w:cs="Times New Roman"/>
          <w:sz w:val="24"/>
          <w:szCs w:val="24"/>
        </w:rPr>
        <w:t>Alternativ</w:t>
      </w:r>
      <w:bookmarkEnd w:id="0"/>
      <w:r w:rsidRPr="7D3D9A8E">
        <w:rPr>
          <w:rFonts w:ascii="Times New Roman" w:eastAsia="Calibri" w:hAnsi="Times New Roman" w:cs="Times New Roman"/>
          <w:sz w:val="24"/>
          <w:szCs w:val="24"/>
        </w:rPr>
        <w:t xml:space="preserve">ely, predator-prey dynamics also influence movement, </w:t>
      </w:r>
      <w:r>
        <w:rPr>
          <w:rFonts w:ascii="Times New Roman" w:eastAsia="Calibri" w:hAnsi="Times New Roman" w:cs="Times New Roman"/>
          <w:sz w:val="24"/>
          <w:szCs w:val="24"/>
        </w:rPr>
        <w:t>such as through prey species changing their behavior or spatiotemporal patterns of habitat use</w:t>
      </w:r>
      <w:r w:rsidRPr="7D3D9A8E">
        <w:rPr>
          <w:rFonts w:ascii="Times New Roman" w:eastAsia="Calibri" w:hAnsi="Times New Roman" w:cs="Times New Roman"/>
          <w:sz w:val="24"/>
          <w:szCs w:val="24"/>
        </w:rPr>
        <w:t xml:space="preserve"> in the presence</w:t>
      </w:r>
      <w:r>
        <w:rPr>
          <w:rFonts w:ascii="Times New Roman" w:eastAsia="Calibri" w:hAnsi="Times New Roman" w:cs="Times New Roman"/>
          <w:sz w:val="24"/>
          <w:szCs w:val="24"/>
        </w:rPr>
        <w:t>, or perceived presence,</w:t>
      </w:r>
      <w:r w:rsidRPr="7D3D9A8E">
        <w:rPr>
          <w:rFonts w:ascii="Times New Roman" w:eastAsia="Calibri" w:hAnsi="Times New Roman" w:cs="Times New Roman"/>
          <w:sz w:val="24"/>
          <w:szCs w:val="24"/>
        </w:rPr>
        <w:t xml:space="preserve"> of predators. An example of this is the change in habitat selection by elk (</w:t>
      </w:r>
      <w:r w:rsidRPr="7D3D9A8E">
        <w:rPr>
          <w:rFonts w:ascii="Times New Roman" w:eastAsia="Calibri" w:hAnsi="Times New Roman" w:cs="Times New Roman"/>
          <w:i/>
          <w:iCs/>
          <w:sz w:val="24"/>
          <w:szCs w:val="24"/>
        </w:rPr>
        <w:t>Cervus canadensis</w:t>
      </w:r>
      <w:r w:rsidRPr="7D3D9A8E">
        <w:rPr>
          <w:rFonts w:ascii="Times New Roman" w:eastAsia="Calibri" w:hAnsi="Times New Roman" w:cs="Times New Roman"/>
          <w:sz w:val="24"/>
          <w:szCs w:val="24"/>
        </w:rPr>
        <w:t>) in high-use areas of wolves (</w:t>
      </w:r>
      <w:r w:rsidRPr="7D3D9A8E">
        <w:rPr>
          <w:rFonts w:ascii="Times New Roman" w:eastAsia="Calibri" w:hAnsi="Times New Roman" w:cs="Times New Roman"/>
          <w:i/>
          <w:iCs/>
          <w:sz w:val="24"/>
          <w:szCs w:val="24"/>
        </w:rPr>
        <w:t>Canis lupus</w:t>
      </w:r>
      <w:r w:rsidRPr="7D3D9A8E">
        <w:rPr>
          <w:rFonts w:ascii="Times New Roman" w:eastAsia="Calibri" w:hAnsi="Times New Roman" w:cs="Times New Roman"/>
          <w:sz w:val="24"/>
          <w:szCs w:val="24"/>
        </w:rPr>
        <w:t>) documented in Yellowstone National Park (Smith et al. 2023).</w:t>
      </w:r>
      <w:r>
        <w:rPr>
          <w:rFonts w:ascii="Times New Roman" w:eastAsia="Calibri" w:hAnsi="Times New Roman" w:cs="Times New Roman"/>
          <w:sz w:val="24"/>
          <w:szCs w:val="24"/>
        </w:rPr>
        <w:t xml:space="preserve"> </w:t>
      </w:r>
    </w:p>
    <w:p w14:paraId="1E334898" w14:textId="77777777" w:rsidR="00E97F80" w:rsidRDefault="00E97F80" w:rsidP="004701E9">
      <w:pPr>
        <w:spacing w:line="360" w:lineRule="auto"/>
        <w:jc w:val="both"/>
        <w:rPr>
          <w:rFonts w:ascii="Times New Roman" w:hAnsi="Times New Roman" w:cs="Times New Roman"/>
          <w:i/>
          <w:iCs/>
          <w:sz w:val="24"/>
          <w:szCs w:val="24"/>
        </w:rPr>
      </w:pPr>
    </w:p>
    <w:p w14:paraId="3F622105" w14:textId="6F01414E" w:rsidR="004701E9" w:rsidRPr="00636FA4" w:rsidRDefault="004701E9" w:rsidP="004701E9">
      <w:pPr>
        <w:spacing w:line="360" w:lineRule="auto"/>
        <w:jc w:val="both"/>
        <w:rPr>
          <w:rFonts w:ascii="Times New Roman" w:hAnsi="Times New Roman" w:cs="Times New Roman"/>
          <w:i/>
          <w:iCs/>
          <w:sz w:val="24"/>
          <w:szCs w:val="24"/>
        </w:rPr>
      </w:pPr>
      <w:r w:rsidRPr="69DB8242">
        <w:rPr>
          <w:rFonts w:ascii="Times New Roman" w:hAnsi="Times New Roman" w:cs="Times New Roman"/>
          <w:i/>
          <w:iCs/>
          <w:sz w:val="24"/>
          <w:szCs w:val="24"/>
        </w:rPr>
        <w:t>Types of movements and resource acquisition</w:t>
      </w:r>
    </w:p>
    <w:p w14:paraId="329983C6" w14:textId="77777777" w:rsidR="004701E9" w:rsidRDefault="004701E9" w:rsidP="004701E9">
      <w:pPr>
        <w:spacing w:line="360" w:lineRule="auto"/>
        <w:jc w:val="both"/>
        <w:rPr>
          <w:rFonts w:ascii="Times New Roman" w:hAnsi="Times New Roman" w:cs="Times New Roman"/>
          <w:sz w:val="24"/>
          <w:szCs w:val="24"/>
        </w:rPr>
      </w:pPr>
      <w:r>
        <w:rPr>
          <w:rFonts w:ascii="Times New Roman" w:hAnsi="Times New Roman" w:cs="Times New Roman"/>
          <w:sz w:val="24"/>
          <w:szCs w:val="24"/>
        </w:rPr>
        <w:t>Despite</w:t>
      </w:r>
      <w:r w:rsidRPr="69DB8242">
        <w:rPr>
          <w:rFonts w:ascii="Times New Roman" w:hAnsi="Times New Roman" w:cs="Times New Roman"/>
          <w:sz w:val="24"/>
          <w:szCs w:val="24"/>
        </w:rPr>
        <w:t xml:space="preserve"> the prevalence of behavioral classification work</w:t>
      </w:r>
      <w:r>
        <w:rPr>
          <w:rFonts w:ascii="Times New Roman" w:hAnsi="Times New Roman" w:cs="Times New Roman"/>
          <w:sz w:val="24"/>
          <w:szCs w:val="24"/>
        </w:rPr>
        <w:t xml:space="preserve"> in ecology</w:t>
      </w:r>
      <w:r w:rsidRPr="69DB8242">
        <w:rPr>
          <w:rFonts w:ascii="Times New Roman" w:hAnsi="Times New Roman" w:cs="Times New Roman"/>
          <w:sz w:val="24"/>
          <w:szCs w:val="24"/>
        </w:rPr>
        <w:t xml:space="preserve">, there is a lack of consensus and structure in the literature when classifying movement behavior. At the simplest level, animal movement can be classified differently depending on both the spatial and temporal scale used to assess them. On a broad scale (e.g., </w:t>
      </w:r>
      <w:r>
        <w:rPr>
          <w:rFonts w:ascii="Times New Roman" w:hAnsi="Times New Roman" w:cs="Times New Roman"/>
          <w:sz w:val="24"/>
          <w:szCs w:val="24"/>
        </w:rPr>
        <w:t>annually or interannually</w:t>
      </w:r>
      <w:r w:rsidRPr="69DB8242">
        <w:rPr>
          <w:rFonts w:ascii="Times New Roman" w:hAnsi="Times New Roman" w:cs="Times New Roman"/>
          <w:sz w:val="24"/>
          <w:szCs w:val="24"/>
        </w:rPr>
        <w:t xml:space="preserve">) movements can be classified as </w:t>
      </w:r>
      <w:r w:rsidRPr="69DB8242">
        <w:rPr>
          <w:rFonts w:ascii="Times New Roman" w:hAnsi="Times New Roman" w:cs="Times New Roman"/>
          <w:sz w:val="24"/>
          <w:szCs w:val="24"/>
        </w:rPr>
        <w:lastRenderedPageBreak/>
        <w:t>migratory, range-resident (Burt, 1943)</w:t>
      </w:r>
      <w:r w:rsidRPr="69DB8242">
        <w:rPr>
          <w:rStyle w:val="CommentReference"/>
        </w:rPr>
        <w:t>,</w:t>
      </w:r>
      <w:r w:rsidRPr="69DB8242">
        <w:rPr>
          <w:rFonts w:ascii="Times New Roman" w:hAnsi="Times New Roman" w:cs="Times New Roman"/>
          <w:sz w:val="24"/>
          <w:szCs w:val="24"/>
        </w:rPr>
        <w:t xml:space="preserve"> or </w:t>
      </w:r>
      <w:r w:rsidRPr="00250B9A">
        <w:rPr>
          <w:rFonts w:ascii="Times New Roman" w:hAnsi="Times New Roman" w:cs="Times New Roman"/>
          <w:sz w:val="24"/>
          <w:szCs w:val="24"/>
        </w:rPr>
        <w:t>nomadic (</w:t>
      </w:r>
      <w:r w:rsidRPr="00077CCA">
        <w:rPr>
          <w:rFonts w:ascii="Times New Roman" w:hAnsi="Times New Roman" w:cs="Times New Roman"/>
          <w:sz w:val="24"/>
          <w:szCs w:val="24"/>
        </w:rPr>
        <w:t xml:space="preserve">Mueller </w:t>
      </w:r>
      <w:r w:rsidRPr="00250B9A">
        <w:rPr>
          <w:rFonts w:ascii="Times New Roman" w:hAnsi="Times New Roman" w:cs="Times New Roman"/>
          <w:sz w:val="24"/>
          <w:szCs w:val="24"/>
        </w:rPr>
        <w:t>and Fagan 2008</w:t>
      </w:r>
      <w:r w:rsidRPr="69DB8242">
        <w:rPr>
          <w:rFonts w:ascii="Times New Roman" w:hAnsi="Times New Roman" w:cs="Times New Roman"/>
          <w:sz w:val="24"/>
          <w:szCs w:val="24"/>
        </w:rPr>
        <w:t xml:space="preserve">). At smaller </w:t>
      </w:r>
      <w:proofErr w:type="spellStart"/>
      <w:r w:rsidRPr="69DB8242">
        <w:rPr>
          <w:rFonts w:ascii="Times New Roman" w:hAnsi="Times New Roman" w:cs="Times New Roman"/>
          <w:sz w:val="24"/>
          <w:szCs w:val="24"/>
        </w:rPr>
        <w:t>spatio</w:t>
      </w:r>
      <w:proofErr w:type="spellEnd"/>
      <w:r w:rsidRPr="69DB8242">
        <w:rPr>
          <w:rFonts w:ascii="Times New Roman" w:hAnsi="Times New Roman" w:cs="Times New Roman"/>
          <w:sz w:val="24"/>
          <w:szCs w:val="24"/>
        </w:rPr>
        <w:t xml:space="preserve">-temporal scales (e.g., within seasons), movement can be also classified as one-way dispersive movements tied to reproduction, the navigation and search for conspecifics, and daily foraging movements. </w:t>
      </w:r>
    </w:p>
    <w:p w14:paraId="46611D4B" w14:textId="77777777" w:rsidR="004701E9" w:rsidRDefault="004701E9" w:rsidP="004701E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For range-resident species, whe</w:t>
      </w:r>
      <w:r w:rsidRPr="52D5EDF6">
        <w:rPr>
          <w:rFonts w:ascii="Times New Roman" w:hAnsi="Times New Roman" w:cs="Times New Roman"/>
          <w:sz w:val="24"/>
          <w:szCs w:val="24"/>
        </w:rPr>
        <w:t xml:space="preserve">n </w:t>
      </w:r>
      <w:r>
        <w:rPr>
          <w:rFonts w:ascii="Times New Roman" w:hAnsi="Times New Roman" w:cs="Times New Roman"/>
          <w:sz w:val="24"/>
          <w:szCs w:val="24"/>
        </w:rPr>
        <w:t>individual</w:t>
      </w:r>
      <w:r w:rsidRPr="52D5EDF6">
        <w:rPr>
          <w:rFonts w:ascii="Times New Roman" w:hAnsi="Times New Roman" w:cs="Times New Roman"/>
          <w:sz w:val="24"/>
          <w:szCs w:val="24"/>
        </w:rPr>
        <w:t xml:space="preserve">s move </w:t>
      </w:r>
      <w:r>
        <w:rPr>
          <w:rFonts w:ascii="Times New Roman" w:hAnsi="Times New Roman" w:cs="Times New Roman"/>
          <w:sz w:val="24"/>
          <w:szCs w:val="24"/>
        </w:rPr>
        <w:t>in search of</w:t>
      </w:r>
      <w:r w:rsidRPr="52D5EDF6">
        <w:rPr>
          <w:rFonts w:ascii="Times New Roman" w:hAnsi="Times New Roman" w:cs="Times New Roman"/>
          <w:sz w:val="24"/>
          <w:szCs w:val="24"/>
        </w:rPr>
        <w:t xml:space="preserve"> </w:t>
      </w:r>
      <w:r>
        <w:rPr>
          <w:rFonts w:ascii="Times New Roman" w:hAnsi="Times New Roman" w:cs="Times New Roman"/>
          <w:sz w:val="24"/>
          <w:szCs w:val="24"/>
        </w:rPr>
        <w:t>(</w:t>
      </w:r>
      <w:r w:rsidRPr="52D5EDF6">
        <w:rPr>
          <w:rFonts w:ascii="Times New Roman" w:hAnsi="Times New Roman" w:cs="Times New Roman"/>
          <w:sz w:val="24"/>
          <w:szCs w:val="24"/>
        </w:rPr>
        <w:t>a</w:t>
      </w:r>
      <w:r>
        <w:rPr>
          <w:rFonts w:ascii="Times New Roman" w:hAnsi="Times New Roman" w:cs="Times New Roman"/>
          <w:sz w:val="24"/>
          <w:szCs w:val="24"/>
        </w:rPr>
        <w:t>)</w:t>
      </w:r>
      <w:r w:rsidRPr="52D5EDF6">
        <w:rPr>
          <w:rFonts w:ascii="Times New Roman" w:hAnsi="Times New Roman" w:cs="Times New Roman"/>
          <w:sz w:val="24"/>
          <w:szCs w:val="24"/>
        </w:rPr>
        <w:t xml:space="preserve"> resource</w:t>
      </w:r>
      <w:r>
        <w:rPr>
          <w:rFonts w:ascii="Times New Roman" w:hAnsi="Times New Roman" w:cs="Times New Roman"/>
          <w:sz w:val="24"/>
          <w:szCs w:val="24"/>
        </w:rPr>
        <w:t>(s)</w:t>
      </w:r>
      <w:r w:rsidRPr="52D5EDF6">
        <w:rPr>
          <w:rFonts w:ascii="Times New Roman" w:hAnsi="Times New Roman" w:cs="Times New Roman"/>
          <w:sz w:val="24"/>
          <w:szCs w:val="24"/>
        </w:rPr>
        <w:t xml:space="preserve"> (e.g., food, mates</w:t>
      </w:r>
      <w:r>
        <w:rPr>
          <w:rFonts w:ascii="Times New Roman" w:hAnsi="Times New Roman" w:cs="Times New Roman"/>
          <w:sz w:val="24"/>
          <w:szCs w:val="24"/>
        </w:rPr>
        <w:t>, nesting sites, etc.</w:t>
      </w:r>
      <w:r w:rsidRPr="52D5EDF6">
        <w:rPr>
          <w:rFonts w:ascii="Times New Roman" w:hAnsi="Times New Roman" w:cs="Times New Roman"/>
          <w:sz w:val="24"/>
          <w:szCs w:val="24"/>
        </w:rPr>
        <w:t>)</w:t>
      </w:r>
      <w:r>
        <w:rPr>
          <w:rFonts w:ascii="Times New Roman" w:hAnsi="Times New Roman" w:cs="Times New Roman"/>
          <w:sz w:val="24"/>
          <w:szCs w:val="24"/>
        </w:rPr>
        <w:t xml:space="preserve"> usually within their home-range</w:t>
      </w:r>
      <w:r w:rsidRPr="52D5EDF6">
        <w:rPr>
          <w:rFonts w:ascii="Times New Roman" w:hAnsi="Times New Roman" w:cs="Times New Roman"/>
          <w:sz w:val="24"/>
          <w:szCs w:val="24"/>
        </w:rPr>
        <w:t xml:space="preserve">, they can do so through </w:t>
      </w:r>
      <w:r w:rsidRPr="00BA6374">
        <w:rPr>
          <w:rFonts w:ascii="Times New Roman" w:hAnsi="Times New Roman" w:cs="Times New Roman"/>
          <w:b/>
          <w:i/>
          <w:sz w:val="24"/>
          <w:szCs w:val="24"/>
        </w:rPr>
        <w:t>navigation and</w:t>
      </w:r>
      <w:r>
        <w:rPr>
          <w:rFonts w:ascii="Times New Roman" w:hAnsi="Times New Roman" w:cs="Times New Roman"/>
          <w:sz w:val="24"/>
          <w:szCs w:val="24"/>
        </w:rPr>
        <w:t xml:space="preserve"> </w:t>
      </w:r>
      <w:r w:rsidRPr="00B409AF">
        <w:rPr>
          <w:rFonts w:ascii="Times New Roman" w:hAnsi="Times New Roman" w:cs="Times New Roman"/>
          <w:b/>
          <w:bCs/>
          <w:i/>
          <w:iCs/>
          <w:sz w:val="24"/>
          <w:szCs w:val="24"/>
        </w:rPr>
        <w:t xml:space="preserve">search behavior </w:t>
      </w:r>
      <w:r w:rsidRPr="00250B9A">
        <w:rPr>
          <w:rFonts w:ascii="Times New Roman" w:hAnsi="Times New Roman" w:cs="Times New Roman"/>
          <w:sz w:val="24"/>
          <w:szCs w:val="24"/>
        </w:rPr>
        <w:t>(</w:t>
      </w:r>
      <w:r w:rsidRPr="00250B9A">
        <w:rPr>
          <w:rFonts w:ascii="Times New Roman" w:eastAsia="Calibri" w:hAnsi="Times New Roman" w:cs="Times New Roman"/>
          <w:sz w:val="24"/>
          <w:szCs w:val="24"/>
        </w:rPr>
        <w:t>Mueller &amp; Fagan 2008</w:t>
      </w:r>
      <w:r w:rsidRPr="00250B9A">
        <w:rPr>
          <w:rFonts w:ascii="Times New Roman" w:hAnsi="Times New Roman" w:cs="Times New Roman"/>
          <w:sz w:val="24"/>
          <w:szCs w:val="24"/>
        </w:rPr>
        <w:t xml:space="preserve">). </w:t>
      </w:r>
      <w:r w:rsidRPr="52D5EDF6">
        <w:rPr>
          <w:rFonts w:ascii="Times New Roman" w:hAnsi="Times New Roman" w:cs="Times New Roman"/>
          <w:sz w:val="24"/>
          <w:szCs w:val="24"/>
        </w:rPr>
        <w:t>Navigation</w:t>
      </w:r>
      <w:r>
        <w:rPr>
          <w:rFonts w:ascii="Times New Roman" w:hAnsi="Times New Roman" w:cs="Times New Roman"/>
          <w:sz w:val="24"/>
          <w:szCs w:val="24"/>
        </w:rPr>
        <w:t xml:space="preserve"> (advective component)</w:t>
      </w:r>
      <w:r w:rsidRPr="52D5EDF6">
        <w:rPr>
          <w:rFonts w:ascii="Times New Roman" w:hAnsi="Times New Roman" w:cs="Times New Roman"/>
          <w:sz w:val="24"/>
          <w:szCs w:val="24"/>
        </w:rPr>
        <w:t xml:space="preserve"> involves the </w:t>
      </w:r>
      <w:r w:rsidRPr="52D5EDF6">
        <w:rPr>
          <w:rFonts w:ascii="Times New Roman" w:eastAsia="Calibri" w:hAnsi="Times New Roman" w:cs="Times New Roman"/>
          <w:sz w:val="24"/>
          <w:szCs w:val="24"/>
        </w:rPr>
        <w:t>movement directed to a known, predictable location – a commuting mode of movement between resource-rich patches</w:t>
      </w:r>
      <w:r>
        <w:rPr>
          <w:rFonts w:ascii="Times New Roman" w:eastAsia="Calibri" w:hAnsi="Times New Roman" w:cs="Times New Roman"/>
          <w:sz w:val="24"/>
          <w:szCs w:val="24"/>
        </w:rPr>
        <w:t xml:space="preserve"> </w:t>
      </w:r>
      <w:r w:rsidRPr="00F5245A">
        <w:rPr>
          <w:rFonts w:ascii="Times New Roman" w:hAnsi="Times New Roman" w:cs="Times New Roman"/>
          <w:sz w:val="24"/>
          <w:szCs w:val="24"/>
        </w:rPr>
        <w:t>(Benhamou 201</w:t>
      </w:r>
      <w:r>
        <w:rPr>
          <w:rFonts w:ascii="Times New Roman" w:hAnsi="Times New Roman" w:cs="Times New Roman"/>
          <w:sz w:val="24"/>
          <w:szCs w:val="24"/>
        </w:rPr>
        <w:t>4</w:t>
      </w:r>
      <w:r w:rsidRPr="00F5245A">
        <w:rPr>
          <w:rFonts w:ascii="Times New Roman" w:hAnsi="Times New Roman" w:cs="Times New Roman"/>
          <w:sz w:val="24"/>
          <w:szCs w:val="24"/>
        </w:rPr>
        <w:t>)</w:t>
      </w:r>
      <w:r>
        <w:rPr>
          <w:rFonts w:ascii="Times New Roman" w:hAnsi="Times New Roman" w:cs="Times New Roman"/>
          <w:sz w:val="24"/>
          <w:szCs w:val="24"/>
        </w:rPr>
        <w:t xml:space="preserve"> usually aided by memory or landscape cues</w:t>
      </w:r>
      <w:r>
        <w:rPr>
          <w:rFonts w:ascii="Times New Roman" w:eastAsia="Calibri" w:hAnsi="Times New Roman" w:cs="Times New Roman"/>
          <w:sz w:val="24"/>
          <w:szCs w:val="24"/>
        </w:rPr>
        <w:t>. Alternatively,</w:t>
      </w:r>
      <w:r w:rsidRPr="52D5EDF6">
        <w:rPr>
          <w:rFonts w:ascii="Times New Roman" w:eastAsia="Calibri" w:hAnsi="Times New Roman" w:cs="Times New Roman"/>
          <w:sz w:val="24"/>
          <w:szCs w:val="24"/>
        </w:rPr>
        <w:t xml:space="preserve"> search behavior refers to the intense search mode within a local patch (area-restricted search-ARS) or the exploration </w:t>
      </w:r>
      <w:r w:rsidRPr="52D5EDF6">
        <w:rPr>
          <w:rFonts w:ascii="Times New Roman" w:hAnsi="Times New Roman" w:cs="Times New Roman"/>
          <w:sz w:val="24"/>
          <w:szCs w:val="24"/>
        </w:rPr>
        <w:t>of new, unfamiliar sites</w:t>
      </w:r>
      <w:r>
        <w:rPr>
          <w:rFonts w:ascii="Times New Roman" w:hAnsi="Times New Roman" w:cs="Times New Roman"/>
          <w:sz w:val="24"/>
          <w:szCs w:val="24"/>
        </w:rPr>
        <w:t xml:space="preserve"> (diffusive component) </w:t>
      </w:r>
      <w:r w:rsidRPr="00F5245A">
        <w:rPr>
          <w:rFonts w:ascii="Times New Roman" w:hAnsi="Times New Roman" w:cs="Times New Roman"/>
          <w:sz w:val="24"/>
          <w:szCs w:val="24"/>
        </w:rPr>
        <w:t>(Benhamou 201</w:t>
      </w:r>
      <w:r>
        <w:rPr>
          <w:rFonts w:ascii="Times New Roman" w:hAnsi="Times New Roman" w:cs="Times New Roman"/>
          <w:sz w:val="24"/>
          <w:szCs w:val="24"/>
        </w:rPr>
        <w:t>4</w:t>
      </w:r>
      <w:r w:rsidRPr="00F5245A">
        <w:rPr>
          <w:rFonts w:ascii="Times New Roman" w:hAnsi="Times New Roman" w:cs="Times New Roman"/>
          <w:sz w:val="24"/>
          <w:szCs w:val="24"/>
        </w:rPr>
        <w:t>)</w:t>
      </w:r>
      <w:r w:rsidRPr="52D5EDF6">
        <w:rPr>
          <w:rFonts w:ascii="Times New Roman" w:hAnsi="Times New Roman" w:cs="Times New Roman"/>
          <w:sz w:val="24"/>
          <w:szCs w:val="24"/>
        </w:rPr>
        <w:t xml:space="preserve">. </w:t>
      </w:r>
    </w:p>
    <w:p w14:paraId="16ADA256" w14:textId="77777777" w:rsidR="004701E9" w:rsidRDefault="004701E9" w:rsidP="004701E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Although classifying animal foraging behavior is not an easy task, even more relevant is whether we can tease apart these behaviors from tracking data. This, although challenging, is crucial to understand the underpinning drivers of movement and decision-making. Here, addressing the scale of movement is a relevant question. </w:t>
      </w:r>
      <w:r w:rsidRPr="00F5245A">
        <w:rPr>
          <w:rFonts w:ascii="Times New Roman" w:hAnsi="Times New Roman" w:cs="Times New Roman"/>
          <w:sz w:val="24"/>
          <w:szCs w:val="24"/>
        </w:rPr>
        <w:t>For example, when an animal periodically visits the same areas within a time frame (e.g., weeks or months), it performs confined movements (locational stationary phase) at this scale, whereas at a smaller spatial and temporal scales</w:t>
      </w:r>
      <w:r>
        <w:rPr>
          <w:rFonts w:ascii="Times New Roman" w:hAnsi="Times New Roman" w:cs="Times New Roman"/>
          <w:sz w:val="24"/>
          <w:szCs w:val="24"/>
        </w:rPr>
        <w:t xml:space="preserve">, </w:t>
      </w:r>
      <w:r w:rsidRPr="00F5245A">
        <w:rPr>
          <w:rFonts w:ascii="Times New Roman" w:hAnsi="Times New Roman" w:cs="Times New Roman"/>
          <w:sz w:val="24"/>
          <w:szCs w:val="24"/>
        </w:rPr>
        <w:t>the movement will resemble an advective-diffusive movement (Benhamou 201</w:t>
      </w:r>
      <w:r>
        <w:rPr>
          <w:rFonts w:ascii="Times New Roman" w:hAnsi="Times New Roman" w:cs="Times New Roman"/>
          <w:sz w:val="24"/>
          <w:szCs w:val="24"/>
        </w:rPr>
        <w:t>4</w:t>
      </w:r>
      <w:r w:rsidRPr="00F5245A">
        <w:rPr>
          <w:rFonts w:ascii="Times New Roman" w:hAnsi="Times New Roman" w:cs="Times New Roman"/>
          <w:sz w:val="24"/>
          <w:szCs w:val="24"/>
        </w:rPr>
        <w:t>)</w:t>
      </w:r>
      <w:r>
        <w:rPr>
          <w:rFonts w:ascii="Times New Roman" w:hAnsi="Times New Roman" w:cs="Times New Roman"/>
          <w:sz w:val="24"/>
          <w:szCs w:val="24"/>
        </w:rPr>
        <w:t xml:space="preserve">. Hence, the quality of the tracking data available will also determine the scope of the research questions we can answer. For some species, addressing fine-scale movement types is possible, whereas for others, the data available might be only able to suggest commuting in general (navigation and search combined into one main category). For the purpose of my research, I will call this form commuting (navigation and search combined) </w:t>
      </w:r>
      <w:r w:rsidRPr="008A2854">
        <w:rPr>
          <w:rFonts w:ascii="Times New Roman" w:hAnsi="Times New Roman" w:cs="Times New Roman"/>
          <w:b/>
          <w:bCs/>
          <w:sz w:val="24"/>
          <w:szCs w:val="24"/>
        </w:rPr>
        <w:t>‘</w:t>
      </w:r>
      <w:r>
        <w:rPr>
          <w:rFonts w:ascii="Times New Roman" w:hAnsi="Times New Roman" w:cs="Times New Roman"/>
          <w:b/>
          <w:i/>
          <w:sz w:val="24"/>
          <w:szCs w:val="24"/>
        </w:rPr>
        <w:t>search’</w:t>
      </w:r>
      <w:r w:rsidRPr="00317CFC">
        <w:rPr>
          <w:rFonts w:ascii="Times New Roman" w:hAnsi="Times New Roman" w:cs="Times New Roman"/>
          <w:b/>
          <w:i/>
          <w:sz w:val="24"/>
          <w:szCs w:val="24"/>
        </w:rPr>
        <w:t>.</w:t>
      </w:r>
    </w:p>
    <w:p w14:paraId="1E3979C9" w14:textId="77777777" w:rsidR="004701E9" w:rsidRPr="005205EA" w:rsidRDefault="004701E9" w:rsidP="004701E9">
      <w:pPr>
        <w:spacing w:line="360" w:lineRule="auto"/>
        <w:ind w:firstLine="720"/>
        <w:jc w:val="both"/>
        <w:rPr>
          <w:rFonts w:ascii="Times New Roman" w:hAnsi="Times New Roman" w:cs="Times New Roman"/>
          <w:sz w:val="24"/>
          <w:szCs w:val="24"/>
        </w:rPr>
      </w:pPr>
      <w:r w:rsidRPr="52D5EDF6">
        <w:rPr>
          <w:rFonts w:ascii="Times New Roman" w:eastAsia="Calibri" w:hAnsi="Times New Roman" w:cs="Times New Roman"/>
          <w:sz w:val="24"/>
          <w:szCs w:val="24"/>
        </w:rPr>
        <w:t>To understand how animals move between resource-rich patches</w:t>
      </w:r>
      <w:r>
        <w:rPr>
          <w:rFonts w:ascii="Times New Roman" w:eastAsia="Calibri" w:hAnsi="Times New Roman" w:cs="Times New Roman"/>
          <w:sz w:val="24"/>
          <w:szCs w:val="24"/>
        </w:rPr>
        <w:t xml:space="preserve"> when foraging</w:t>
      </w:r>
      <w:r w:rsidRPr="52D5EDF6">
        <w:rPr>
          <w:rFonts w:ascii="Times New Roman" w:eastAsia="Calibri" w:hAnsi="Times New Roman" w:cs="Times New Roman"/>
          <w:sz w:val="24"/>
          <w:szCs w:val="24"/>
        </w:rPr>
        <w:t xml:space="preserve">, a group of models have been </w:t>
      </w:r>
      <w:r w:rsidRPr="003F720D">
        <w:rPr>
          <w:rFonts w:ascii="Times New Roman" w:eastAsia="Calibri" w:hAnsi="Times New Roman" w:cs="Times New Roman"/>
          <w:sz w:val="24"/>
          <w:szCs w:val="24"/>
        </w:rPr>
        <w:t>developed which are generally referred to as random walks. Random walks assume that movement of animals include a series of steps (usually modelled as discrete steps) and turning angles (</w:t>
      </w:r>
      <w:proofErr w:type="spellStart"/>
      <w:r w:rsidRPr="003F720D">
        <w:rPr>
          <w:rFonts w:ascii="Times New Roman" w:hAnsi="Times New Roman" w:cs="Times New Roman"/>
          <w:sz w:val="24"/>
          <w:szCs w:val="24"/>
        </w:rPr>
        <w:t>Hengeveld</w:t>
      </w:r>
      <w:proofErr w:type="spellEnd"/>
      <w:r w:rsidRPr="003F720D">
        <w:rPr>
          <w:rFonts w:ascii="Times New Roman" w:hAnsi="Times New Roman" w:cs="Times New Roman"/>
          <w:sz w:val="24"/>
          <w:szCs w:val="24"/>
        </w:rPr>
        <w:t>, 2007)</w:t>
      </w:r>
      <w:r>
        <w:rPr>
          <w:rFonts w:ascii="Times New Roman" w:hAnsi="Times New Roman" w:cs="Times New Roman"/>
          <w:sz w:val="24"/>
          <w:szCs w:val="24"/>
        </w:rPr>
        <w:t xml:space="preserve"> with some variations among models</w:t>
      </w:r>
      <w:r w:rsidRPr="003F720D">
        <w:rPr>
          <w:rFonts w:ascii="Times New Roman" w:eastAsia="Calibri" w:hAnsi="Times New Roman" w:cs="Times New Roman"/>
          <w:sz w:val="24"/>
          <w:szCs w:val="24"/>
        </w:rPr>
        <w:t xml:space="preserve">. </w:t>
      </w:r>
      <w:r w:rsidRPr="52D5EDF6">
        <w:rPr>
          <w:rFonts w:ascii="Times New Roman" w:hAnsi="Times New Roman" w:cs="Times New Roman"/>
          <w:sz w:val="24"/>
          <w:szCs w:val="24"/>
        </w:rPr>
        <w:t>However, regardless of the state and the movements they make when foraging, animals need to maximize returns (either in calories or nutrients). To do so, they optimize their overall efficiency in finding resources (</w:t>
      </w:r>
      <w:proofErr w:type="spellStart"/>
      <w:r w:rsidRPr="52D5EDF6">
        <w:rPr>
          <w:rFonts w:ascii="Times New Roman" w:hAnsi="Times New Roman" w:cs="Times New Roman"/>
          <w:sz w:val="24"/>
          <w:szCs w:val="24"/>
        </w:rPr>
        <w:t>Nonacs</w:t>
      </w:r>
      <w:proofErr w:type="spellEnd"/>
      <w:r w:rsidRPr="52D5EDF6">
        <w:rPr>
          <w:rFonts w:ascii="Times New Roman" w:hAnsi="Times New Roman" w:cs="Times New Roman"/>
          <w:sz w:val="24"/>
          <w:szCs w:val="24"/>
        </w:rPr>
        <w:t xml:space="preserve"> </w:t>
      </w:r>
      <w:r w:rsidRPr="52D5EDF6">
        <w:rPr>
          <w:rFonts w:ascii="Times New Roman" w:hAnsi="Times New Roman" w:cs="Times New Roman"/>
          <w:sz w:val="24"/>
          <w:szCs w:val="24"/>
        </w:rPr>
        <w:lastRenderedPageBreak/>
        <w:t>and Oikos 1993), either within high resource patches (ARS) or when commuting between these. Consensus has suggested that to do so, animals exhibit directed movement to maximize encounter rates (Shipley et al. 1996</w:t>
      </w:r>
      <w:r w:rsidRPr="52D5EDF6">
        <w:rPr>
          <w:rFonts w:ascii="Times New Roman" w:eastAsia="Arial" w:hAnsi="Times New Roman" w:cs="Times New Roman"/>
          <w:sz w:val="24"/>
          <w:szCs w:val="24"/>
        </w:rPr>
        <w:t>).</w:t>
      </w:r>
      <w:r>
        <w:rPr>
          <w:rFonts w:ascii="Times New Roman" w:eastAsia="Arial" w:hAnsi="Times New Roman" w:cs="Times New Roman"/>
          <w:sz w:val="24"/>
          <w:szCs w:val="24"/>
        </w:rPr>
        <w:t xml:space="preserve"> This is especially true for non-</w:t>
      </w:r>
      <w:proofErr w:type="spellStart"/>
      <w:r>
        <w:rPr>
          <w:rFonts w:ascii="Times New Roman" w:eastAsia="Arial" w:hAnsi="Times New Roman" w:cs="Times New Roman"/>
          <w:sz w:val="24"/>
          <w:szCs w:val="24"/>
        </w:rPr>
        <w:t>revisitable</w:t>
      </w:r>
      <w:proofErr w:type="spellEnd"/>
      <w:r>
        <w:rPr>
          <w:rFonts w:ascii="Times New Roman" w:eastAsia="Arial" w:hAnsi="Times New Roman" w:cs="Times New Roman"/>
          <w:sz w:val="24"/>
          <w:szCs w:val="24"/>
        </w:rPr>
        <w:t xml:space="preserve"> food sources (e.g., non-destructive foragers, </w:t>
      </w:r>
      <w:proofErr w:type="spellStart"/>
      <w:r>
        <w:rPr>
          <w:rFonts w:ascii="Times New Roman" w:eastAsia="Arial" w:hAnsi="Times New Roman" w:cs="Times New Roman"/>
          <w:sz w:val="24"/>
          <w:szCs w:val="24"/>
        </w:rPr>
        <w:t>Nauta</w:t>
      </w:r>
      <w:proofErr w:type="spellEnd"/>
      <w:r>
        <w:rPr>
          <w:rFonts w:ascii="Times New Roman" w:eastAsia="Arial" w:hAnsi="Times New Roman" w:cs="Times New Roman"/>
          <w:sz w:val="24"/>
          <w:szCs w:val="24"/>
        </w:rPr>
        <w:t xml:space="preserve"> et al. 2020). This type of movement is termed </w:t>
      </w:r>
      <w:r w:rsidRPr="008A2854">
        <w:rPr>
          <w:rFonts w:ascii="Times New Roman" w:eastAsia="Arial" w:hAnsi="Times New Roman" w:cs="Times New Roman"/>
          <w:b/>
          <w:bCs/>
          <w:sz w:val="24"/>
          <w:szCs w:val="24"/>
        </w:rPr>
        <w:t>‘</w:t>
      </w:r>
      <w:r w:rsidRPr="00C06521">
        <w:rPr>
          <w:rFonts w:ascii="Times New Roman" w:eastAsia="Arial" w:hAnsi="Times New Roman" w:cs="Times New Roman"/>
          <w:b/>
          <w:i/>
          <w:sz w:val="24"/>
          <w:szCs w:val="24"/>
        </w:rPr>
        <w:t>ballistic motion</w:t>
      </w:r>
      <w:r>
        <w:rPr>
          <w:rFonts w:ascii="Times New Roman" w:eastAsia="Arial" w:hAnsi="Times New Roman" w:cs="Times New Roman"/>
          <w:b/>
          <w:i/>
          <w:sz w:val="24"/>
          <w:szCs w:val="24"/>
        </w:rPr>
        <w:t>’</w:t>
      </w:r>
      <w:r>
        <w:rPr>
          <w:rFonts w:ascii="Times New Roman" w:eastAsia="Arial" w:hAnsi="Times New Roman" w:cs="Times New Roman"/>
          <w:sz w:val="24"/>
          <w:szCs w:val="24"/>
        </w:rPr>
        <w:t xml:space="preserve">. Whilst the idea that ballistic (straight-line) movement obeys a reasonable argument (as it is the shortest </w:t>
      </w:r>
      <w:proofErr w:type="spellStart"/>
      <w:r>
        <w:rPr>
          <w:rFonts w:ascii="Times New Roman" w:eastAsia="Arial" w:hAnsi="Times New Roman" w:cs="Times New Roman"/>
          <w:sz w:val="24"/>
          <w:szCs w:val="24"/>
        </w:rPr>
        <w:t>euclidean</w:t>
      </w:r>
      <w:proofErr w:type="spellEnd"/>
      <w:r>
        <w:rPr>
          <w:rFonts w:ascii="Times New Roman" w:eastAsia="Arial" w:hAnsi="Times New Roman" w:cs="Times New Roman"/>
          <w:sz w:val="24"/>
          <w:szCs w:val="24"/>
        </w:rPr>
        <w:t xml:space="preserve"> distance between two points), it still remains to be tested how this motion is exhibited by different groups of animals and whether there are variables (environmental and biological) that determine its length scale across individuals/species.</w:t>
      </w:r>
    </w:p>
    <w:p w14:paraId="1E01E4DF" w14:textId="77777777" w:rsidR="004701E9" w:rsidRDefault="004701E9" w:rsidP="004701E9">
      <w:pPr>
        <w:spacing w:after="0" w:line="360" w:lineRule="auto"/>
        <w:jc w:val="both"/>
        <w:rPr>
          <w:rFonts w:ascii="Times New Roman" w:eastAsia="Times New Roman" w:hAnsi="Times New Roman" w:cs="Times New Roman"/>
          <w:i/>
          <w:iCs/>
          <w:sz w:val="24"/>
          <w:szCs w:val="24"/>
        </w:rPr>
      </w:pPr>
      <w:r w:rsidRPr="69DB8242">
        <w:rPr>
          <w:rFonts w:ascii="Times New Roman" w:eastAsia="Times New Roman" w:hAnsi="Times New Roman" w:cs="Times New Roman"/>
          <w:i/>
          <w:iCs/>
          <w:sz w:val="24"/>
          <w:szCs w:val="24"/>
        </w:rPr>
        <w:t>Knowledge gaps and future directions</w:t>
      </w:r>
    </w:p>
    <w:p w14:paraId="49B5F21D" w14:textId="77777777" w:rsidR="004701E9" w:rsidRDefault="004701E9" w:rsidP="004701E9">
      <w:pPr>
        <w:spacing w:after="0" w:line="360" w:lineRule="auto"/>
        <w:jc w:val="both"/>
        <w:rPr>
          <w:rFonts w:ascii="Times New Roman" w:eastAsia="Calibri" w:hAnsi="Times New Roman" w:cs="Times New Roman"/>
          <w:sz w:val="24"/>
          <w:szCs w:val="24"/>
        </w:rPr>
      </w:pPr>
      <w:r w:rsidRPr="69DB8242">
        <w:rPr>
          <w:rFonts w:ascii="Times New Roman" w:hAnsi="Times New Roman" w:cs="Times New Roman"/>
          <w:sz w:val="24"/>
          <w:szCs w:val="24"/>
        </w:rPr>
        <w:t xml:space="preserve">It is unquestionable that </w:t>
      </w:r>
      <w:r>
        <w:rPr>
          <w:rFonts w:ascii="Times New Roman" w:hAnsi="Times New Roman" w:cs="Times New Roman"/>
          <w:sz w:val="24"/>
          <w:szCs w:val="24"/>
        </w:rPr>
        <w:t>s</w:t>
      </w:r>
      <w:r>
        <w:rPr>
          <w:rFonts w:ascii="Times New Roman" w:eastAsia="Calibri" w:hAnsi="Times New Roman" w:cs="Times New Roman"/>
          <w:sz w:val="24"/>
          <w:szCs w:val="24"/>
        </w:rPr>
        <w:t xml:space="preserve">ince the first tracking devices were developed, science has made a significant amount of progress in the understanding of animal movement and behavior </w:t>
      </w:r>
      <w:r w:rsidRPr="69DB8242">
        <w:rPr>
          <w:rFonts w:ascii="Times New Roman" w:eastAsia="Times New Roman" w:hAnsi="Times New Roman" w:cs="Times New Roman"/>
          <w:sz w:val="24"/>
          <w:szCs w:val="24"/>
        </w:rPr>
        <w:t>(Kays et al. 2015)</w:t>
      </w:r>
      <w:r>
        <w:rPr>
          <w:rFonts w:ascii="Times New Roman" w:eastAsia="Calibri" w:hAnsi="Times New Roman" w:cs="Times New Roman"/>
          <w:sz w:val="24"/>
          <w:szCs w:val="24"/>
        </w:rPr>
        <w:t xml:space="preserve">. </w:t>
      </w:r>
      <w:r w:rsidRPr="69DB8242">
        <w:rPr>
          <w:rFonts w:ascii="Times New Roman" w:eastAsia="Times New Roman" w:hAnsi="Times New Roman" w:cs="Times New Roman"/>
          <w:sz w:val="24"/>
          <w:szCs w:val="24"/>
        </w:rPr>
        <w:t>Historically, studying movement in wildlife traditionally implied a large investment of time in the field or were limited to coarse sampling intervals from tracking devi</w:t>
      </w:r>
      <w:r>
        <w:rPr>
          <w:rFonts w:ascii="Times New Roman" w:eastAsia="Times New Roman" w:hAnsi="Times New Roman" w:cs="Times New Roman"/>
          <w:sz w:val="24"/>
          <w:szCs w:val="24"/>
        </w:rPr>
        <w:t>c</w:t>
      </w:r>
      <w:r w:rsidRPr="69DB8242">
        <w:rPr>
          <w:rFonts w:ascii="Times New Roman" w:eastAsia="Times New Roman" w:hAnsi="Times New Roman" w:cs="Times New Roman"/>
          <w:sz w:val="24"/>
          <w:szCs w:val="24"/>
        </w:rPr>
        <w:t xml:space="preserve">es which impacted </w:t>
      </w:r>
      <w:r w:rsidRPr="69DB8242">
        <w:rPr>
          <w:rFonts w:ascii="Times New Roman" w:eastAsia="Calibri" w:hAnsi="Times New Roman" w:cs="Times New Roman"/>
          <w:sz w:val="24"/>
          <w:szCs w:val="24"/>
        </w:rPr>
        <w:t xml:space="preserve">home-range estimates. </w:t>
      </w:r>
      <w:r>
        <w:rPr>
          <w:rFonts w:ascii="Times New Roman" w:hAnsi="Times New Roman" w:cs="Times New Roman"/>
          <w:sz w:val="24"/>
          <w:szCs w:val="24"/>
        </w:rPr>
        <w:t>Nonetheless</w:t>
      </w:r>
      <w:r w:rsidRPr="69DB8242">
        <w:rPr>
          <w:rFonts w:ascii="Times New Roman" w:hAnsi="Times New Roman" w:cs="Times New Roman"/>
          <w:sz w:val="24"/>
          <w:szCs w:val="24"/>
        </w:rPr>
        <w:t>, in spite of having a vast amount of information on the foraging ecology for several species of birds, organizing and processing all this information together to draw conclusions on the determinant biological variables that shape foraging behavior, especially across taxa, remains an overlooked task. Hence, to the best of my knowledge, this thesis will pioneer in answering some of these overarching questions. Here, I will compile biological and ecological variables of bird species and test the relationship between these and communal roosting behavior, and complementary, test the relationship of this behavior with foraging efficiency using tracking data available, to then explore the energetics costs of it. Some of these biological variables have been discussed earlier in this opening chapter, but other biological and environmental variables can be added to the analysis and will be further discussed in chapters 2 and 3 respectively.</w:t>
      </w:r>
    </w:p>
    <w:p w14:paraId="641617BA" w14:textId="77777777" w:rsidR="004701E9" w:rsidRDefault="004701E9" w:rsidP="004701E9">
      <w:pPr>
        <w:spacing w:line="360" w:lineRule="auto"/>
        <w:jc w:val="both"/>
        <w:rPr>
          <w:rFonts w:ascii="Times New Roman" w:hAnsi="Times New Roman" w:cs="Times New Roman"/>
          <w:b/>
          <w:bCs/>
          <w:sz w:val="24"/>
          <w:szCs w:val="24"/>
        </w:rPr>
      </w:pPr>
    </w:p>
    <w:p w14:paraId="7B840BC9" w14:textId="77777777" w:rsidR="00C503DA" w:rsidRDefault="00C503DA"/>
    <w:sectPr w:rsidR="00C50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9B"/>
    <w:rsid w:val="004701E9"/>
    <w:rsid w:val="005F1EEE"/>
    <w:rsid w:val="00C40A9B"/>
    <w:rsid w:val="00C503DA"/>
    <w:rsid w:val="00E9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D288"/>
  <w15:chartTrackingRefBased/>
  <w15:docId w15:val="{E37C955C-FD0E-4040-AED7-B9174DB3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01E9"/>
    <w:rPr>
      <w:sz w:val="16"/>
      <w:szCs w:val="16"/>
    </w:rPr>
  </w:style>
  <w:style w:type="character" w:styleId="Hyperlink">
    <w:name w:val="Hyperlink"/>
    <w:basedOn w:val="DefaultParagraphFont"/>
    <w:uiPriority w:val="99"/>
    <w:unhideWhenUsed/>
    <w:rsid w:val="00E97F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ustomXml" Target="ink/ink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hyperlink" Target="https://journals.co.za/doi/epdf/10.10520/EJC117325" TargetMode="Externa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20:23:08.258"/>
    </inkml:context>
    <inkml:brush xml:id="br0">
      <inkml:brushProperty name="width" value="0.05" units="cm"/>
      <inkml:brushProperty name="height" value="0.05" units="cm"/>
      <inkml:brushProperty name="color" value="#E71224"/>
    </inkml:brush>
  </inkml:definitions>
  <inkml:trace contextRef="#ctx0" brushRef="#br0">1 1 16388,'0'0'0,"0"0"0,0 0 0,0 0 0,0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20:23:07.842"/>
    </inkml:context>
    <inkml:brush xml:id="br0">
      <inkml:brushProperty name="width" value="0.05" units="cm"/>
      <inkml:brushProperty name="height" value="0.05" units="cm"/>
      <inkml:brushProperty name="color" value="#E71224"/>
    </inkml:brush>
  </inkml:definitions>
  <inkml:trace contextRef="#ctx0" brushRef="#br0">0 1 16388,'0'0'0,"0"0"0,0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2833</Words>
  <Characters>16153</Characters>
  <Application>Microsoft Office Word</Application>
  <DocSecurity>0</DocSecurity>
  <Lines>134</Lines>
  <Paragraphs>37</Paragraphs>
  <ScaleCrop>false</ScaleCrop>
  <Company/>
  <LinksUpToDate>false</LinksUpToDate>
  <CharactersWithSpaces>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sandracd@student.ubc.ca</dc:creator>
  <cp:keywords/>
  <dc:description/>
  <cp:lastModifiedBy>sandracd@student.ubc.ca</cp:lastModifiedBy>
  <cp:revision>4</cp:revision>
  <dcterms:created xsi:type="dcterms:W3CDTF">2025-01-03T17:04:00Z</dcterms:created>
  <dcterms:modified xsi:type="dcterms:W3CDTF">2025-01-03T17:11:00Z</dcterms:modified>
</cp:coreProperties>
</file>