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7DA47" w14:textId="167BF0CD" w:rsidR="003D4EB1" w:rsidRPr="00D11827" w:rsidRDefault="00000000" w:rsidP="00D11827">
      <w:pPr>
        <w:keepNext/>
        <w:tabs>
          <w:tab w:val="center" w:pos="4320"/>
          <w:tab w:val="right" w:pos="8640"/>
          <w:tab w:val="left" w:pos="3240"/>
        </w:tabs>
        <w:spacing w:before="120" w:after="120" w:line="480" w:lineRule="auto"/>
        <w:jc w:val="center"/>
        <w:rPr>
          <w:rFonts w:ascii="Times New Roman" w:hAnsi="Times New Roman" w:cs="Times New Roman"/>
          <w:color w:val="000000" w:themeColor="text1"/>
        </w:rPr>
      </w:pPr>
      <w:r w:rsidRPr="00D11827">
        <w:rPr>
          <w:rFonts w:ascii="Times New Roman" w:hAnsi="Times New Roman" w:cs="Times New Roman"/>
          <w:b/>
          <w:bCs/>
          <w:color w:val="000000" w:themeColor="text1"/>
        </w:rPr>
        <w:t>Spatial ecology of jaguars in a coastal Amazon island ecosystem</w:t>
      </w:r>
    </w:p>
    <w:p w14:paraId="6F1DA930" w14:textId="0DF36E3A" w:rsidR="003D4EB1" w:rsidRPr="00D11827" w:rsidRDefault="00000000" w:rsidP="00D11827">
      <w:pPr>
        <w:keepNext/>
        <w:tabs>
          <w:tab w:val="center" w:pos="4320"/>
          <w:tab w:val="right" w:pos="8640"/>
          <w:tab w:val="left" w:pos="3240"/>
        </w:tabs>
        <w:spacing w:after="0" w:line="480" w:lineRule="auto"/>
        <w:rPr>
          <w:rFonts w:ascii="Times New Roman" w:hAnsi="Times New Roman" w:cs="Times New Roman"/>
          <w:b/>
          <w:bCs/>
          <w:color w:val="000000" w:themeColor="text1"/>
        </w:rPr>
      </w:pPr>
      <w:r w:rsidRPr="00D11827">
        <w:rPr>
          <w:rFonts w:ascii="Times New Roman" w:hAnsi="Times New Roman" w:cs="Times New Roman"/>
          <w:color w:val="000000" w:themeColor="text1"/>
        </w:rPr>
        <w:t>Leandro Silveira</w:t>
      </w:r>
      <w:r w:rsidRPr="00D11827">
        <w:rPr>
          <w:rFonts w:ascii="Times New Roman" w:hAnsi="Times New Roman" w:cs="Times New Roman"/>
          <w:color w:val="000000" w:themeColor="text1"/>
          <w:vertAlign w:val="superscript"/>
        </w:rPr>
        <w:t>1</w:t>
      </w:r>
      <w:r w:rsidRPr="00D11827">
        <w:rPr>
          <w:rFonts w:ascii="Times New Roman" w:hAnsi="Times New Roman" w:cs="Times New Roman"/>
          <w:color w:val="000000" w:themeColor="text1"/>
        </w:rPr>
        <w:t>, Anah T. A. Jácomo</w:t>
      </w:r>
      <w:r w:rsidRPr="00D11827">
        <w:rPr>
          <w:rFonts w:ascii="Times New Roman" w:hAnsi="Times New Roman" w:cs="Times New Roman"/>
          <w:color w:val="000000" w:themeColor="text1"/>
          <w:vertAlign w:val="superscript"/>
        </w:rPr>
        <w:t>1</w:t>
      </w:r>
      <w:r w:rsidRPr="00D11827">
        <w:rPr>
          <w:rFonts w:ascii="Times New Roman" w:hAnsi="Times New Roman" w:cs="Times New Roman"/>
          <w:color w:val="000000" w:themeColor="text1"/>
        </w:rPr>
        <w:t>, Tiago J. Silveira</w:t>
      </w:r>
      <w:r w:rsidRPr="00D11827">
        <w:rPr>
          <w:rFonts w:ascii="Times New Roman" w:hAnsi="Times New Roman" w:cs="Times New Roman"/>
          <w:color w:val="000000" w:themeColor="text1"/>
          <w:vertAlign w:val="superscript"/>
        </w:rPr>
        <w:t>1</w:t>
      </w:r>
      <w:r w:rsidRPr="00D11827">
        <w:rPr>
          <w:rFonts w:ascii="Times New Roman" w:hAnsi="Times New Roman" w:cs="Times New Roman"/>
          <w:color w:val="000000" w:themeColor="text1"/>
        </w:rPr>
        <w:t>, Gediendson R. de Araujo</w:t>
      </w:r>
      <w:r w:rsidRPr="00D11827">
        <w:rPr>
          <w:rFonts w:ascii="Times New Roman" w:hAnsi="Times New Roman" w:cs="Times New Roman"/>
          <w:color w:val="000000" w:themeColor="text1"/>
          <w:vertAlign w:val="superscript"/>
        </w:rPr>
        <w:t>2</w:t>
      </w:r>
      <w:r w:rsidRPr="00D11827">
        <w:rPr>
          <w:rFonts w:ascii="Times New Roman" w:hAnsi="Times New Roman" w:cs="Times New Roman"/>
          <w:color w:val="000000" w:themeColor="text1"/>
        </w:rPr>
        <w:t>, Renato A. Moreira</w:t>
      </w:r>
      <w:r w:rsidRPr="00D11827">
        <w:rPr>
          <w:rFonts w:ascii="Times New Roman" w:hAnsi="Times New Roman" w:cs="Times New Roman"/>
          <w:color w:val="000000" w:themeColor="text1"/>
          <w:vertAlign w:val="superscript"/>
        </w:rPr>
        <w:t>3</w:t>
      </w:r>
      <w:r w:rsidRPr="00D11827">
        <w:rPr>
          <w:rFonts w:ascii="Times New Roman" w:hAnsi="Times New Roman" w:cs="Times New Roman"/>
          <w:color w:val="000000" w:themeColor="text1"/>
        </w:rPr>
        <w:t>, Francesca B. L. Palmeira</w:t>
      </w:r>
      <w:r w:rsidRPr="00D11827">
        <w:rPr>
          <w:rFonts w:ascii="Times New Roman" w:hAnsi="Times New Roman" w:cs="Times New Roman"/>
          <w:color w:val="000000" w:themeColor="text1"/>
          <w:vertAlign w:val="superscript"/>
        </w:rPr>
        <w:t>4</w:t>
      </w:r>
      <w:r w:rsidRPr="00D11827">
        <w:rPr>
          <w:rFonts w:ascii="Times New Roman" w:hAnsi="Times New Roman" w:cs="Times New Roman"/>
          <w:color w:val="000000" w:themeColor="text1"/>
        </w:rPr>
        <w:t>, Marcia de A. M. M. Ferraz</w:t>
      </w:r>
      <w:r w:rsidRPr="00D11827">
        <w:rPr>
          <w:rFonts w:ascii="Times New Roman" w:hAnsi="Times New Roman" w:cs="Times New Roman"/>
          <w:color w:val="000000" w:themeColor="text1"/>
          <w:vertAlign w:val="superscript"/>
        </w:rPr>
        <w:t>5</w:t>
      </w:r>
      <w:r w:rsidRPr="00D11827">
        <w:rPr>
          <w:rFonts w:ascii="Times New Roman" w:hAnsi="Times New Roman" w:cs="Times New Roman"/>
          <w:color w:val="000000" w:themeColor="text1"/>
        </w:rPr>
        <w:t>,  Michael J. Noonan</w:t>
      </w:r>
      <w:r w:rsidRPr="00D11827">
        <w:rPr>
          <w:rFonts w:ascii="Times New Roman" w:hAnsi="Times New Roman" w:cs="Times New Roman"/>
          <w:color w:val="000000" w:themeColor="text1"/>
          <w:vertAlign w:val="superscript"/>
        </w:rPr>
        <w:t>6,7,8*</w:t>
      </w:r>
    </w:p>
    <w:p w14:paraId="5FF076A5" w14:textId="77777777" w:rsidR="003D4EB1" w:rsidRPr="00D11827" w:rsidRDefault="00000000" w:rsidP="00D11827">
      <w:pPr>
        <w:tabs>
          <w:tab w:val="left" w:pos="8130"/>
        </w:tabs>
        <w:spacing w:before="120" w:after="0" w:line="480" w:lineRule="auto"/>
        <w:rPr>
          <w:rFonts w:ascii="Times New Roman" w:hAnsi="Times New Roman" w:cs="Times New Roman"/>
          <w:color w:val="000000" w:themeColor="text1"/>
          <w:vertAlign w:val="superscript"/>
        </w:rPr>
      </w:pPr>
      <w:r w:rsidRPr="00D11827">
        <w:rPr>
          <w:rFonts w:ascii="Times New Roman" w:hAnsi="Times New Roman" w:cs="Times New Roman"/>
          <w:b/>
          <w:bCs/>
          <w:color w:val="000000" w:themeColor="text1"/>
        </w:rPr>
        <w:tab/>
      </w:r>
    </w:p>
    <w:p w14:paraId="27047A79" w14:textId="77777777" w:rsidR="003D4EB1" w:rsidRPr="00D11827" w:rsidRDefault="00000000" w:rsidP="00D11827">
      <w:pPr>
        <w:tabs>
          <w:tab w:val="center" w:pos="4320"/>
          <w:tab w:val="right" w:pos="8640"/>
          <w:tab w:val="left" w:pos="3240"/>
        </w:tabs>
        <w:spacing w:before="60" w:after="0" w:line="480" w:lineRule="auto"/>
        <w:rPr>
          <w:rFonts w:ascii="Times New Roman" w:hAnsi="Times New Roman" w:cs="Times New Roman"/>
          <w:color w:val="000000" w:themeColor="text1"/>
        </w:rPr>
      </w:pPr>
      <w:r w:rsidRPr="00D11827">
        <w:rPr>
          <w:rFonts w:ascii="Times New Roman" w:hAnsi="Times New Roman" w:cs="Times New Roman"/>
          <w:color w:val="000000" w:themeColor="text1"/>
          <w:vertAlign w:val="superscript"/>
        </w:rPr>
        <w:t>1</w:t>
      </w:r>
      <w:r w:rsidRPr="00D11827">
        <w:rPr>
          <w:rFonts w:ascii="Times New Roman" w:hAnsi="Times New Roman" w:cs="Times New Roman"/>
          <w:color w:val="000000" w:themeColor="text1"/>
        </w:rPr>
        <w:t>Jaguar Conservation Fund/Instituto Onça-Pintada, CEP 75.838-899, Mineiros, GO, Brazil.</w:t>
      </w:r>
    </w:p>
    <w:p w14:paraId="71DB4853" w14:textId="77777777" w:rsidR="003D4EB1" w:rsidRPr="00D11827" w:rsidRDefault="00000000" w:rsidP="00D11827">
      <w:pPr>
        <w:tabs>
          <w:tab w:val="center" w:pos="4320"/>
          <w:tab w:val="right" w:pos="8640"/>
          <w:tab w:val="left" w:pos="3240"/>
        </w:tabs>
        <w:spacing w:before="60" w:after="0" w:line="480" w:lineRule="auto"/>
        <w:rPr>
          <w:rFonts w:ascii="Times New Roman" w:hAnsi="Times New Roman" w:cs="Times New Roman"/>
          <w:color w:val="000000" w:themeColor="text1"/>
        </w:rPr>
      </w:pPr>
      <w:r w:rsidRPr="00D11827">
        <w:rPr>
          <w:rFonts w:ascii="Times New Roman" w:hAnsi="Times New Roman" w:cs="Times New Roman"/>
          <w:color w:val="000000" w:themeColor="text1"/>
          <w:vertAlign w:val="superscript"/>
        </w:rPr>
        <w:t>2</w:t>
      </w:r>
      <w:r w:rsidRPr="00D11827">
        <w:rPr>
          <w:rFonts w:ascii="Times New Roman" w:hAnsi="Times New Roman" w:cs="Times New Roman"/>
          <w:color w:val="000000" w:themeColor="text1"/>
        </w:rPr>
        <w:t>Instituto Reprocon, Campo Grande, MS, Brazil.</w:t>
      </w:r>
    </w:p>
    <w:p w14:paraId="0472863A" w14:textId="77777777" w:rsidR="003D4EB1" w:rsidRPr="00D11827" w:rsidRDefault="00000000" w:rsidP="00D11827">
      <w:pPr>
        <w:keepNext/>
        <w:tabs>
          <w:tab w:val="center" w:pos="4320"/>
          <w:tab w:val="right" w:pos="8640"/>
          <w:tab w:val="left" w:pos="3240"/>
        </w:tabs>
        <w:spacing w:after="0" w:line="480" w:lineRule="auto"/>
        <w:rPr>
          <w:rFonts w:ascii="Times New Roman" w:hAnsi="Times New Roman" w:cs="Times New Roman"/>
          <w:color w:val="000000" w:themeColor="text1"/>
        </w:rPr>
      </w:pPr>
      <w:r w:rsidRPr="00D11827">
        <w:rPr>
          <w:rFonts w:ascii="Times New Roman" w:hAnsi="Times New Roman" w:cs="Times New Roman"/>
          <w:color w:val="000000" w:themeColor="text1"/>
          <w:vertAlign w:val="superscript"/>
        </w:rPr>
        <w:t>3</w:t>
      </w:r>
      <w:r w:rsidRPr="00D11827">
        <w:rPr>
          <w:rFonts w:ascii="Times New Roman" w:hAnsi="Times New Roman" w:cs="Times New Roman"/>
          <w:color w:val="000000" w:themeColor="text1"/>
        </w:rPr>
        <w:t>Oréades Núcleo de Geoprocessamento, Mineiros, GO, Brazil.</w:t>
      </w:r>
    </w:p>
    <w:p w14:paraId="38940C1A" w14:textId="77777777" w:rsidR="003D4EB1" w:rsidRPr="00D11827" w:rsidRDefault="00000000" w:rsidP="00D11827">
      <w:pPr>
        <w:keepNext/>
        <w:tabs>
          <w:tab w:val="center" w:pos="4320"/>
          <w:tab w:val="right" w:pos="8640"/>
          <w:tab w:val="left" w:pos="3240"/>
        </w:tabs>
        <w:spacing w:after="0" w:line="480" w:lineRule="auto"/>
        <w:rPr>
          <w:rFonts w:ascii="Times New Roman" w:hAnsi="Times New Roman" w:cs="Times New Roman"/>
          <w:color w:val="000000" w:themeColor="text1"/>
        </w:rPr>
      </w:pPr>
      <w:r w:rsidRPr="00D11827">
        <w:rPr>
          <w:rFonts w:ascii="Times New Roman" w:hAnsi="Times New Roman" w:cs="Times New Roman"/>
          <w:color w:val="000000" w:themeColor="text1"/>
          <w:vertAlign w:val="superscript"/>
        </w:rPr>
        <w:t>4</w:t>
      </w:r>
      <w:r w:rsidRPr="00D11827">
        <w:rPr>
          <w:rFonts w:ascii="Times New Roman" w:hAnsi="Times New Roman" w:cs="Times New Roman"/>
          <w:color w:val="000000" w:themeColor="text1"/>
        </w:rPr>
        <w:t>RLadies Ribeirão Preto, Rua José Arigó 758, Jardim Anhanguera, CEP 14092-172, Ribeirão Preto, SP, Brazil.</w:t>
      </w:r>
    </w:p>
    <w:p w14:paraId="22A121A8" w14:textId="77777777" w:rsidR="003D4EB1" w:rsidRPr="00D11827" w:rsidRDefault="00000000" w:rsidP="00D11827">
      <w:pPr>
        <w:tabs>
          <w:tab w:val="center" w:pos="4320"/>
          <w:tab w:val="right" w:pos="8640"/>
          <w:tab w:val="left" w:pos="3240"/>
        </w:tabs>
        <w:spacing w:before="60" w:after="0" w:line="480" w:lineRule="auto"/>
        <w:rPr>
          <w:rFonts w:ascii="Times New Roman" w:hAnsi="Times New Roman" w:cs="Times New Roman"/>
          <w:color w:val="000000" w:themeColor="text1"/>
        </w:rPr>
      </w:pPr>
      <w:r w:rsidRPr="00D11827">
        <w:rPr>
          <w:rFonts w:ascii="Times New Roman" w:hAnsi="Times New Roman" w:cs="Times New Roman"/>
          <w:color w:val="000000" w:themeColor="text1"/>
          <w:vertAlign w:val="superscript"/>
        </w:rPr>
        <w:t>5</w:t>
      </w:r>
      <w:r w:rsidRPr="00D11827">
        <w:rPr>
          <w:rFonts w:ascii="Times New Roman" w:hAnsi="Times New Roman" w:cs="Times New Roman"/>
          <w:color w:val="000000" w:themeColor="text1"/>
        </w:rPr>
        <w:t>Reproductive Sciences Unit, Toronto Zoo, 361A Old Finch Avenue, Toronto, M1B 5K7, ON, Canada.</w:t>
      </w:r>
    </w:p>
    <w:p w14:paraId="1A94E634" w14:textId="77777777" w:rsidR="003D4EB1" w:rsidRPr="00D11827" w:rsidRDefault="00000000" w:rsidP="00D11827">
      <w:pPr>
        <w:tabs>
          <w:tab w:val="center" w:pos="4320"/>
          <w:tab w:val="right" w:pos="8640"/>
          <w:tab w:val="left" w:pos="3240"/>
        </w:tabs>
        <w:spacing w:before="60" w:after="0" w:line="480" w:lineRule="auto"/>
        <w:rPr>
          <w:rFonts w:ascii="Times New Roman" w:hAnsi="Times New Roman" w:cs="Times New Roman"/>
          <w:color w:val="000000" w:themeColor="text1"/>
        </w:rPr>
      </w:pPr>
      <w:r w:rsidRPr="00D11827">
        <w:rPr>
          <w:rFonts w:ascii="Times New Roman" w:hAnsi="Times New Roman" w:cs="Times New Roman"/>
          <w:color w:val="000000" w:themeColor="text1"/>
          <w:vertAlign w:val="superscript"/>
        </w:rPr>
        <w:t>6</w:t>
      </w:r>
      <w:r w:rsidRPr="00D11827">
        <w:rPr>
          <w:rFonts w:ascii="Times New Roman" w:hAnsi="Times New Roman" w:cs="Times New Roman"/>
          <w:color w:val="000000" w:themeColor="text1"/>
        </w:rPr>
        <w:t>Department of Biology, The University of British Columbia Okanagan, Kelowna, V1V 1V7, Canada.</w:t>
      </w:r>
    </w:p>
    <w:p w14:paraId="5D5006E5" w14:textId="77777777" w:rsidR="003D4EB1" w:rsidRPr="00D11827" w:rsidRDefault="00000000" w:rsidP="00D11827">
      <w:pPr>
        <w:tabs>
          <w:tab w:val="center" w:pos="4320"/>
          <w:tab w:val="right" w:pos="8640"/>
          <w:tab w:val="left" w:pos="3240"/>
        </w:tabs>
        <w:spacing w:before="60" w:after="0" w:line="480" w:lineRule="auto"/>
        <w:rPr>
          <w:rFonts w:ascii="Times New Roman" w:hAnsi="Times New Roman" w:cs="Times New Roman"/>
          <w:color w:val="000000" w:themeColor="text1"/>
        </w:rPr>
      </w:pPr>
      <w:r w:rsidRPr="00D11827">
        <w:rPr>
          <w:rFonts w:ascii="Times New Roman" w:hAnsi="Times New Roman" w:cs="Times New Roman"/>
          <w:color w:val="000000" w:themeColor="text1"/>
          <w:vertAlign w:val="superscript"/>
        </w:rPr>
        <w:t>7</w:t>
      </w:r>
      <w:r w:rsidRPr="00D11827">
        <w:rPr>
          <w:rFonts w:ascii="Times New Roman" w:hAnsi="Times New Roman" w:cs="Times New Roman"/>
          <w:color w:val="000000" w:themeColor="text1"/>
        </w:rPr>
        <w:t xml:space="preserve">Okanagan Institute for Biodiversity, Resilience, and Ecosystem Services, The University of British Columbia Okanagan, Kelowna, V1V 1V7, Canada. </w:t>
      </w:r>
    </w:p>
    <w:p w14:paraId="62256D42" w14:textId="77777777" w:rsidR="003D4EB1" w:rsidRPr="00D11827" w:rsidRDefault="00000000" w:rsidP="00D11827">
      <w:pPr>
        <w:tabs>
          <w:tab w:val="center" w:pos="4320"/>
          <w:tab w:val="right" w:pos="8640"/>
          <w:tab w:val="left" w:pos="3240"/>
        </w:tabs>
        <w:spacing w:before="60" w:after="0" w:line="480" w:lineRule="auto"/>
        <w:rPr>
          <w:rFonts w:ascii="Times New Roman" w:hAnsi="Times New Roman" w:cs="Times New Roman"/>
          <w:b/>
          <w:bCs/>
          <w:color w:val="000000" w:themeColor="text1"/>
        </w:rPr>
      </w:pPr>
      <w:r w:rsidRPr="00D11827">
        <w:rPr>
          <w:rFonts w:ascii="Times New Roman" w:hAnsi="Times New Roman" w:cs="Times New Roman"/>
          <w:color w:val="000000" w:themeColor="text1"/>
          <w:vertAlign w:val="superscript"/>
        </w:rPr>
        <w:t>8</w:t>
      </w:r>
      <w:r w:rsidRPr="00D11827">
        <w:rPr>
          <w:rFonts w:ascii="Times New Roman" w:hAnsi="Times New Roman" w:cs="Times New Roman"/>
          <w:color w:val="000000" w:themeColor="text1"/>
        </w:rPr>
        <w:t>Department of Computer Science, Math, Physics, and Statistics, The University of British Columbia Okanagan, Kelowna, V1V 1V7, Canada.</w:t>
      </w:r>
    </w:p>
    <w:p w14:paraId="50DD76A9" w14:textId="77777777" w:rsidR="003D4EB1" w:rsidRPr="00D11827" w:rsidRDefault="00000000" w:rsidP="00D11827">
      <w:pPr>
        <w:tabs>
          <w:tab w:val="center" w:pos="4320"/>
          <w:tab w:val="right" w:pos="8640"/>
          <w:tab w:val="left" w:pos="3240"/>
        </w:tabs>
        <w:spacing w:before="60" w:after="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*Corresponding author:</w:t>
      </w:r>
    </w:p>
    <w:p w14:paraId="5B1E0AA2" w14:textId="77777777" w:rsidR="003D4EB1" w:rsidRPr="00D11827" w:rsidRDefault="00000000" w:rsidP="00D11827">
      <w:pPr>
        <w:tabs>
          <w:tab w:val="center" w:pos="4320"/>
          <w:tab w:val="right" w:pos="8640"/>
          <w:tab w:val="left" w:pos="3240"/>
        </w:tabs>
        <w:spacing w:before="60" w:after="0" w:line="480" w:lineRule="auto"/>
        <w:rPr>
          <w:rFonts w:ascii="Times New Roman" w:hAnsi="Times New Roman" w:cs="Times New Roman"/>
          <w:color w:val="000000" w:themeColor="text1"/>
        </w:rPr>
        <w:sectPr w:rsidR="003D4EB1" w:rsidRPr="00D11827" w:rsidSect="00D11827">
          <w:headerReference w:type="default" r:id="rId7"/>
          <w:footerReference w:type="default" r:id="rId8"/>
          <w:pgSz w:w="12240" w:h="15840"/>
          <w:pgMar w:top="1440" w:right="1440" w:bottom="1440" w:left="1440" w:header="708" w:footer="708" w:gutter="0"/>
          <w:lnNumType w:countBy="1" w:restart="continuous"/>
          <w:pgNumType w:start="1"/>
          <w:cols w:space="720"/>
          <w:docGrid w:linePitch="326"/>
        </w:sectPr>
      </w:pPr>
      <w:r w:rsidRPr="00D11827">
        <w:rPr>
          <w:rFonts w:ascii="Times New Roman" w:hAnsi="Times New Roman" w:cs="Times New Roman"/>
          <w:color w:val="000000" w:themeColor="text1"/>
        </w:rPr>
        <w:t>Email: michael.noonan@ubc.ca</w:t>
      </w:r>
    </w:p>
    <w:p w14:paraId="2A8ACF81" w14:textId="77777777" w:rsidR="003D4EB1" w:rsidRPr="00D11827" w:rsidRDefault="00000000" w:rsidP="00D11827">
      <w:pPr>
        <w:pStyle w:val="Heading1"/>
        <w:rPr>
          <w:rFonts w:ascii="Times New Roman" w:hAnsi="Times New Roman" w:cs="Times New Roman"/>
          <w:color w:val="000000" w:themeColor="text1"/>
          <w:sz w:val="24"/>
          <w:szCs w:val="24"/>
        </w:rPr>
      </w:pPr>
      <w:bookmarkStart w:id="0" w:name="_dpyw0kyfmz6k" w:colFirst="0" w:colLast="0"/>
      <w:bookmarkEnd w:id="0"/>
      <w:r w:rsidRPr="00D11827">
        <w:rPr>
          <w:rFonts w:ascii="Times New Roman" w:hAnsi="Times New Roman" w:cs="Times New Roman"/>
          <w:color w:val="000000" w:themeColor="text1"/>
          <w:sz w:val="24"/>
          <w:szCs w:val="24"/>
        </w:rPr>
        <w:lastRenderedPageBreak/>
        <w:t>Abstract</w:t>
      </w:r>
    </w:p>
    <w:p w14:paraId="4EA786CF" w14:textId="4B73448A" w:rsidR="00EB0E99" w:rsidRDefault="00EB0E99" w:rsidP="00D11827">
      <w:pPr>
        <w:pStyle w:val="Heading1"/>
        <w:rPr>
          <w:rFonts w:ascii="Times New Roman" w:hAnsi="Times New Roman" w:cs="Times New Roman"/>
          <w:b w:val="0"/>
          <w:bCs w:val="0"/>
          <w:color w:val="000000" w:themeColor="text1"/>
          <w:sz w:val="24"/>
          <w:szCs w:val="24"/>
        </w:rPr>
      </w:pPr>
      <w:r w:rsidRPr="00EB0E99">
        <w:rPr>
          <w:rFonts w:ascii="Times New Roman" w:hAnsi="Times New Roman" w:cs="Times New Roman"/>
          <w:b w:val="0"/>
          <w:bCs w:val="0"/>
          <w:color w:val="000000" w:themeColor="text1"/>
          <w:sz w:val="24"/>
          <w:szCs w:val="24"/>
        </w:rPr>
        <w:t>Understanding the spatial ecology of large carnivores is critical for conservation, particularly in insular or fragmented systems where movement is constrained. Jaguars (</w:t>
      </w:r>
      <w:r w:rsidRPr="00EB0E99">
        <w:rPr>
          <w:rFonts w:ascii="Times New Roman" w:hAnsi="Times New Roman" w:cs="Times New Roman"/>
          <w:b w:val="0"/>
          <w:bCs w:val="0"/>
          <w:i/>
          <w:iCs/>
          <w:color w:val="000000" w:themeColor="text1"/>
          <w:sz w:val="24"/>
          <w:szCs w:val="24"/>
        </w:rPr>
        <w:t>Panthera onca</w:t>
      </w:r>
      <w:r w:rsidRPr="00EB0E99">
        <w:rPr>
          <w:rFonts w:ascii="Times New Roman" w:hAnsi="Times New Roman" w:cs="Times New Roman"/>
          <w:b w:val="0"/>
          <w:bCs w:val="0"/>
          <w:color w:val="000000" w:themeColor="text1"/>
          <w:sz w:val="24"/>
          <w:szCs w:val="24"/>
        </w:rPr>
        <w:t>) are especially informative because their behaviour and diet are highly flexible in response to local ecological conditions. We investigated movement patterns, home-range dynamics, and social interactions of jaguars on Maracá-Jipioca Island, a pair of small, seasonally flooded islands within a low-disturbance reserve in the Brazilian Amazon. Using GPS collars, we tracked seven individuals and found that males maintained substantially larger home ranges (mean = 77.8 km²) than females (mean = 19.5 km²). Despite the island’s limited area, home-range overlap was low and direct encounters were rare, reflecting territorial behaviour similar to mainland populations and contrasting with patterns reported for aquatic-prey specialists. Jaguars moved an average of 7.3 km day⁻¹, with no differences across sex, age, or body size. However, movement speed and activity varied strongly among habitats</w:t>
      </w:r>
      <w:r>
        <w:rPr>
          <w:rFonts w:ascii="Times New Roman" w:hAnsi="Times New Roman" w:cs="Times New Roman"/>
          <w:b w:val="0"/>
          <w:bCs w:val="0"/>
          <w:color w:val="000000" w:themeColor="text1"/>
          <w:sz w:val="24"/>
          <w:szCs w:val="24"/>
        </w:rPr>
        <w:t>,</w:t>
      </w:r>
      <w:r w:rsidRPr="00EB0E99">
        <w:rPr>
          <w:rFonts w:ascii="Times New Roman" w:hAnsi="Times New Roman" w:cs="Times New Roman"/>
          <w:b w:val="0"/>
          <w:bCs w:val="0"/>
          <w:color w:val="000000" w:themeColor="text1"/>
          <w:sz w:val="24"/>
          <w:szCs w:val="24"/>
        </w:rPr>
        <w:t xml:space="preserve"> individuals moved faster in grasslands, wetlands, and water, and more slowly in forests and mangroves, where resting behaviour was more frequent. Unlike the predominantly nocturnal activity reported for continental populations, jaguar activity on Maracá-Jipioca peaked during daylight hours, particularly among females. Jaguars preferentially used coastal areas</w:t>
      </w:r>
      <w:r w:rsidR="00BF6DDF">
        <w:rPr>
          <w:rFonts w:ascii="Times New Roman" w:hAnsi="Times New Roman" w:cs="Times New Roman"/>
          <w:b w:val="0"/>
          <w:bCs w:val="0"/>
          <w:color w:val="000000" w:themeColor="text1"/>
          <w:sz w:val="24"/>
          <w:szCs w:val="24"/>
        </w:rPr>
        <w:t xml:space="preserve"> and </w:t>
      </w:r>
      <w:r w:rsidR="009063B9">
        <w:rPr>
          <w:rFonts w:ascii="Times New Roman" w:hAnsi="Times New Roman" w:cs="Times New Roman"/>
          <w:b w:val="0"/>
          <w:bCs w:val="0"/>
          <w:color w:val="000000" w:themeColor="text1"/>
          <w:sz w:val="24"/>
          <w:szCs w:val="24"/>
        </w:rPr>
        <w:t xml:space="preserve">their distance to the coast was influenced by </w:t>
      </w:r>
      <w:r w:rsidRPr="00EB0E99">
        <w:rPr>
          <w:rFonts w:ascii="Times New Roman" w:hAnsi="Times New Roman" w:cs="Times New Roman"/>
          <w:b w:val="0"/>
          <w:bCs w:val="0"/>
          <w:color w:val="000000" w:themeColor="text1"/>
          <w:sz w:val="24"/>
          <w:szCs w:val="24"/>
        </w:rPr>
        <w:t>tidal variation. Together, these findings reveal a combination of conserved and novel behaviours shaped by the island’s ecological context, highlighting the behavioural flexibility that enables jaguars to persist in insular Amazonian landscapes.</w:t>
      </w:r>
    </w:p>
    <w:p w14:paraId="73E65961" w14:textId="77777777" w:rsidR="00EB0E99" w:rsidRDefault="00EB0E99" w:rsidP="00D11827">
      <w:pPr>
        <w:pStyle w:val="Heading1"/>
        <w:rPr>
          <w:rFonts w:ascii="Times New Roman" w:hAnsi="Times New Roman" w:cs="Times New Roman"/>
          <w:b w:val="0"/>
          <w:bCs w:val="0"/>
          <w:color w:val="000000" w:themeColor="text1"/>
          <w:sz w:val="24"/>
          <w:szCs w:val="24"/>
        </w:rPr>
      </w:pPr>
    </w:p>
    <w:p w14:paraId="6672FC12" w14:textId="67243A88" w:rsidR="00D11827" w:rsidRPr="00D11827" w:rsidRDefault="00D11827" w:rsidP="00D11827">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Keywords</w:t>
      </w:r>
    </w:p>
    <w:p w14:paraId="60A91341" w14:textId="56725A85" w:rsidR="00D11827" w:rsidRPr="00D11827" w:rsidRDefault="004F0056" w:rsidP="00D11827">
      <w:pPr>
        <w:spacing w:after="60" w:line="480" w:lineRule="auto"/>
        <w:rPr>
          <w:rFonts w:ascii="Times New Roman" w:hAnsi="Times New Roman" w:cs="Times New Roman"/>
          <w:color w:val="000000" w:themeColor="text1"/>
        </w:rPr>
      </w:pPr>
      <w:r>
        <w:rPr>
          <w:rFonts w:ascii="Times New Roman" w:hAnsi="Times New Roman" w:cs="Times New Roman"/>
          <w:color w:val="000000" w:themeColor="text1"/>
        </w:rPr>
        <w:t xml:space="preserve">Encounters, </w:t>
      </w:r>
      <w:r w:rsidR="00EB0E99" w:rsidRPr="00EB0E99">
        <w:rPr>
          <w:rFonts w:ascii="Times New Roman" w:hAnsi="Times New Roman" w:cs="Times New Roman"/>
          <w:color w:val="000000" w:themeColor="text1"/>
        </w:rPr>
        <w:t>Insular carnivore ecology</w:t>
      </w:r>
      <w:r w:rsidR="00EB0E99">
        <w:rPr>
          <w:rFonts w:ascii="Times New Roman" w:hAnsi="Times New Roman" w:cs="Times New Roman"/>
          <w:color w:val="000000" w:themeColor="text1"/>
        </w:rPr>
        <w:t>,</w:t>
      </w:r>
      <w:r w:rsidR="00EB0E99" w:rsidRPr="00EB0E99">
        <w:rPr>
          <w:rFonts w:ascii="Times New Roman" w:hAnsi="Times New Roman" w:cs="Times New Roman"/>
          <w:color w:val="000000" w:themeColor="text1"/>
        </w:rPr>
        <w:t xml:space="preserve"> home-range overlap</w:t>
      </w:r>
      <w:r w:rsidR="00EB0E99">
        <w:rPr>
          <w:rFonts w:ascii="Times New Roman" w:hAnsi="Times New Roman" w:cs="Times New Roman"/>
          <w:color w:val="000000" w:themeColor="text1"/>
        </w:rPr>
        <w:t>,</w:t>
      </w:r>
      <w:r w:rsidR="00EB0E99" w:rsidRPr="00EB0E99">
        <w:rPr>
          <w:rFonts w:ascii="Times New Roman" w:hAnsi="Times New Roman" w:cs="Times New Roman"/>
          <w:color w:val="000000" w:themeColor="text1"/>
        </w:rPr>
        <w:t xml:space="preserve"> territoriality</w:t>
      </w:r>
      <w:r w:rsidR="00EB0E99">
        <w:rPr>
          <w:rFonts w:ascii="Times New Roman" w:hAnsi="Times New Roman" w:cs="Times New Roman"/>
          <w:color w:val="000000" w:themeColor="text1"/>
        </w:rPr>
        <w:t>,</w:t>
      </w:r>
      <w:r w:rsidR="00EB0E99" w:rsidRPr="00EB0E99">
        <w:rPr>
          <w:rFonts w:ascii="Times New Roman" w:hAnsi="Times New Roman" w:cs="Times New Roman"/>
          <w:color w:val="000000" w:themeColor="text1"/>
        </w:rPr>
        <w:t xml:space="preserve"> habitat-specific movement</w:t>
      </w:r>
      <w:r w:rsidR="00EB0E99">
        <w:rPr>
          <w:rFonts w:ascii="Times New Roman" w:hAnsi="Times New Roman" w:cs="Times New Roman"/>
          <w:color w:val="000000" w:themeColor="text1"/>
        </w:rPr>
        <w:t xml:space="preserve">, </w:t>
      </w:r>
      <w:r w:rsidR="00EB0E99" w:rsidRPr="00EB0E99">
        <w:rPr>
          <w:rFonts w:ascii="Times New Roman" w:hAnsi="Times New Roman" w:cs="Times New Roman"/>
          <w:color w:val="000000" w:themeColor="text1"/>
        </w:rPr>
        <w:t>Maracá-Jipioca Island</w:t>
      </w:r>
    </w:p>
    <w:p w14:paraId="0E9BD227" w14:textId="77777777" w:rsidR="003D4EB1" w:rsidRPr="00D11827" w:rsidRDefault="003D4EB1" w:rsidP="00D11827">
      <w:pPr>
        <w:spacing w:after="60" w:line="480" w:lineRule="auto"/>
        <w:rPr>
          <w:rFonts w:ascii="Times New Roman" w:hAnsi="Times New Roman" w:cs="Times New Roman"/>
          <w:b/>
          <w:bCs/>
          <w:color w:val="000000" w:themeColor="text1"/>
        </w:rPr>
      </w:pPr>
    </w:p>
    <w:p w14:paraId="0AD9E3BC" w14:textId="5D762A4F" w:rsidR="003D4EB1" w:rsidRPr="00D11827" w:rsidRDefault="00EB0E99" w:rsidP="00EB0E99">
      <w:pPr>
        <w:pStyle w:val="Heading1"/>
        <w:numPr>
          <w:ilvl w:val="0"/>
          <w:numId w:val="1"/>
        </w:numPr>
        <w:rPr>
          <w:rFonts w:ascii="Times New Roman" w:hAnsi="Times New Roman" w:cs="Times New Roman"/>
          <w:color w:val="000000" w:themeColor="text1"/>
          <w:sz w:val="24"/>
          <w:szCs w:val="24"/>
        </w:rPr>
      </w:pPr>
      <w:bookmarkStart w:id="1" w:name="_62oq71vujpf9" w:colFirst="0" w:colLast="0"/>
      <w:bookmarkEnd w:id="1"/>
      <w:r w:rsidRPr="00D11827">
        <w:rPr>
          <w:rFonts w:ascii="Times New Roman" w:hAnsi="Times New Roman" w:cs="Times New Roman"/>
          <w:color w:val="000000" w:themeColor="text1"/>
          <w:sz w:val="24"/>
          <w:szCs w:val="24"/>
        </w:rPr>
        <w:lastRenderedPageBreak/>
        <w:t>INTRODUCTION</w:t>
      </w:r>
    </w:p>
    <w:p w14:paraId="6402544C" w14:textId="0E489E14" w:rsidR="003D4EB1" w:rsidRPr="00D11827" w:rsidRDefault="00000000" w:rsidP="00D11827">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Jaguars (</w:t>
      </w:r>
      <w:r w:rsidRPr="00D11827">
        <w:rPr>
          <w:rFonts w:ascii="Times New Roman" w:hAnsi="Times New Roman" w:cs="Times New Roman"/>
          <w:i/>
          <w:iCs/>
          <w:color w:val="000000" w:themeColor="text1"/>
        </w:rPr>
        <w:t>Panthera onca</w:t>
      </w:r>
      <w:r w:rsidRPr="00D11827">
        <w:rPr>
          <w:rFonts w:ascii="Times New Roman" w:hAnsi="Times New Roman" w:cs="Times New Roman"/>
          <w:color w:val="000000" w:themeColor="text1"/>
        </w:rPr>
        <w:t xml:space="preserve">) are the largest felid in the Americas and the third-largest in the world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{"citationID":"KZFaspUv","properties":{"formattedCitation":"(Hunter 2018)","plainCitation":"(Hunter 2018)","noteIndex":0},"citationItems":[{"id":7948,"uris":["http://zotero.org/users/11476620/items/NAI59GXR"],"itemData":{"id":7948,"type":"book","event-place":"London","ISBN":"978-1-4729-8267-4","language":"eng","number-of-pages":"1","publisher":"Bloomsbury Publishing Plc","publisher-place":"London","source":"K10plus ISBN","title":"Field Guide to Carnivores of the World, 2nd Edition","author":[{"family":"Hunter","given":"Luke"}],"contributor":[{"family":"Barrett","given":"Priscilla"}],"issued":{"date-parts":[["2018"]]}}}],"schema":"https://github.com/citation-style-language/schema/raw/master/csl-citation.json"} </w:instrText>
      </w:r>
      <w:r w:rsidRPr="00D11827">
        <w:rPr>
          <w:rFonts w:ascii="Times New Roman" w:hAnsi="Times New Roman" w:cs="Times New Roman"/>
          <w:color w:val="000000" w:themeColor="text1"/>
        </w:rPr>
        <w:fldChar w:fldCharType="separate"/>
      </w:r>
      <w:r w:rsidR="00E21B60">
        <w:rPr>
          <w:rFonts w:ascii="Times New Roman" w:hAnsi="Times New Roman" w:cs="Times New Roman"/>
          <w:color w:val="000000" w:themeColor="text1"/>
        </w:rPr>
        <w:t>(Hunter 2018)</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Historically ranging from as far north as the southwestern United States to central Argentina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{"citationID":"eoyA33pa","properties":{"formattedCitation":"(Jones 1982, Seymour 1989, Hunter 2018)","plainCitation":"(Jones 1982, Seymour 1989, Hunter 2018)","noteIndex":0},"citationItems":[{"id":7948,"uris":["http://zotero.org/users/11476620/items/NAI59GXR"],"itemData":{"id":7948,"type":"book","event-place":"London","ISBN":"978-1-4729-8267-4","language":"eng","number-of-pages":"1","publisher":"Bloomsbury Publishing Plc","publisher-place":"London","source":"K10plus ISBN","title":"Field Guide to Carnivores of the World, 2nd Edition","author":[{"family":"Hunter","given":"Luke"}],"contributor":[{"family":"Barrett","given":"Priscilla"}],"issued":{"date-parts":[["2018"]]}},"label":"page"},{"id":7952,"uris":["http://zotero.org/users/11476620/items/SVRMJAAB"],"itemData":{"id":7952,"type":"article-journal","container-title":"Journal of Mammalogy","DOI":"10.2307/1380295","ISSN":"1545-1542, 0022-2372","issue":"4","journalAbbreviation":"Journal of Mammalogy","language":"en","page":"717-717","source":"DOI.org (Crossref)","title":"Hall, E. R. THE MAMMALS OF NORTH AMERICA. 2nd ed. John Wiley and Sons, New York, 1:xv + 1-600 + 90 and 2:vi + 601-1181 + 90, illustrated. 1981. $80.00","title-short":"Hall, E. R. THE MAMMALS OF NORTH AMERICA. 2nd ed. John Wiley and Sons, New York, 1","volume":"63","author":[{"family":"Jones","given":"J. K."}],"issued":{"date-parts":[["1982",11,23]]}},"label":"page"},{"id":7953,"uris":["http://zotero.org/users/11476620/items/W4QSE4RW"],"itemData":{"id":7953,"type":"article-journal","container-title":"Mammalian Species","DOI":"10.2307/3504096","ISSN":"00763519","issue":"340","journalAbbreviation":"Mammalian Species","page":"1","source":"DOI.org (Crossref)","title":"Panthera onca","author":[{"family":"Seymour","given":"Kevin L."}],"issued":{"date-parts":[["1989",10,26]]}},"label":"page"}],"schema":"https://github.com/citation-style-language/schema/raw/master/csl-citation.json"} </w:instrText>
      </w:r>
      <w:r w:rsidRPr="00D11827">
        <w:rPr>
          <w:rFonts w:ascii="Times New Roman" w:hAnsi="Times New Roman" w:cs="Times New Roman"/>
          <w:color w:val="000000" w:themeColor="text1"/>
        </w:rPr>
        <w:fldChar w:fldCharType="separate"/>
      </w:r>
      <w:r w:rsidR="00E21B60">
        <w:rPr>
          <w:rFonts w:ascii="Times New Roman" w:hAnsi="Times New Roman" w:cs="Times New Roman"/>
          <w:color w:val="000000" w:themeColor="text1"/>
          <w:lang w:val="en-US"/>
        </w:rPr>
        <w:t>(Jones 1982, Seymour 1989, Hunter 2018)</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in the south, the species demonstrates a remarkable amount of ecological plasticity, occupying environments as diverse as dense forests and extensive wetlands to xeric desert ecosystems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{"citationID":"y9b19e3q","properties":{"formattedCitation":"(Astete {\\i{}et al.} 2016)","plainCitation":"(Astete et al. 2016)","noteIndex":0},"citationItems":[{"id":7986,"uris":["http://zotero.org/users/11476620/items/K4GSEPZ5"],"itemData":{"id":7986,"type":"article-journal","container-title":"Journal of Mammalogy","DOI":"10.1093/jmammal/gyw184","ISSN":"0022-2372, 1545-1542","journalAbbreviation":"JMAMMA","language":"en","page":"gyw184","source":"DOI.org (Crossref)","title":"Living in extreme environments: modeling habitat suitability for jaguars, pumas, and their prey in a semiarid habitat","title-short":"Living in extreme environments","author":[{"family":"Astete","given":"Samuel"},{"family":"Marinho-Filho","given":"Jader"},{"family":"Machado","given":"Ricardo B."},{"family":"Zimbres","given":"Bárbara"},{"family":"Jácomo","given":"Anah T. A."},{"family":"Sollmann","given":"Rahel"},{"family":"Tôrres","given":"Natália M."},{"family":"Silveira","given":"Leandro"}],"issued":{"date-parts":[["2016",12,29]]}}}],"schema":"https://github.com/citation-style-language/schema/raw/master/csl-citation.json"}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(Astete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2016)</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In addition to being habitat generalists, jaguars are opportunistic predators whose diet shifts flexibly with local prey availability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{"citationID":"z9wvF8GQ","properties":{"formattedCitation":"(Emmons 1987, Carrillo {\\i{}et al.} 2009, Hayward {\\i{}et al.} 2016, Miranda {\\i{}et al.} 2016)","plainCitation":"(Emmons 1987, Carrillo et al. 2009, Hayward et al. 2016, Miranda et al. 2016)","noteIndex":0},"citationItems":[{"id":8094,"uris":["http://zotero.org/users/11476620/items/57DW74EW"],"itemData":{"id":8094,"type":"article-journal","container-title":"Behavioral Ecology and Sociobiology","DOI":"10.1007/BF00292180","ISSN":"0340-5443, 1432-0762","issue":"4","journalAbbreviation":"Behav Ecol Sociobiol","language":"en","license":"http://www.springer.com/tdm","page":"271-283","source":"DOI.org (Crossref)","title":"Comparative feeding ecology of felids in a neotropical rainforest","volume":"20","author":[{"family":"Emmons","given":"Louise H."}],"issued":{"date-parts":[["1987",4]]}},"label":"page"},{"id":8095,"uris":["http://zotero.org/users/11476620/items/CWYM7JWG"],"itemData":{"id":8095,"type":"article-journal","abstract":"Geographic variation in behaviour of individuals within a species is well known (Foster &amp; Endler 1999), both across ranges (Iriarte\n              et al\n              . 1990) and locally (Hertz &amp; Huey 1981). For predators, variation in prey use within a given site is often seasonal (Brillhart &amp; Kaufman 1995), and related to changes in relative abundance and/or vulnerability of various prey (Kunkel\n              et al\n              . 2004). Behavioural diversity also occurs because prey behaviours vary and predators change foraging tactics, even on a daily basis (Ropert-Coudert\n              et al\n              . 2002).","container-title":"Journal of Tropical Ecology","DOI":"10.1017/S0266467409990137","ISSN":"0266-4674, 1469-7831","issue":"5","journalAbbreviation":"J. Trop. Ecol.","language":"en","license":"https://www.cambridge.org/core/terms","page":"563-567","source":"DOI.org (Crossref)","title":"Jaguar ( &lt;i&gt;Panthera onca&lt;/i&gt; ) hunting activity: effects of prey distribution and availability","title-short":"Jaguar ( &lt;i&gt;Panthera onca&lt;/i&gt; ) hunting activity","volume":"25","author":[{"family":"Carrillo","given":"Eduardo"},{"family":"Fuller","given":"Todd K."},{"family":"Saenz","given":"Joel C."}],"issued":{"date-parts":[["2009",9]]}},"label":"page"},{"id":8096,"uris":["http://zotero.org/users/11476620/items/K33LXFUT"],"itemData":{"id":8096,"type":"article-journal","container-title":"Journal of Natural History","DOI":"10.1080/00222933.2016.1180717","ISSN":"0022-2933, 1464-5262","issue":"31-32","journalAbbreviation":"Journal of Natural History","language":"en","page":"2021-2035","source":"DOI.org (Crossref)","title":"Reptiles as principal prey? Adaptations for durophagy and prey selection by jaguar ( &lt;i&gt;Panthera onca&lt;/i&gt; )","title-short":"Reptiles as principal prey?","volume":"50","author":[{"family":"Miranda","given":"Everton B.P."},{"family":"Menezes","given":"Jorge F.S. De"},{"family":"Rheingantz","given":"Marcelo L."}],"issued":{"date-parts":[["2016",8,25]]}},"label":"page"},{"id":8098,"uris":["http://zotero.org/users/11476620/items/6N626I4B"],"itemData":{"id":8098,"type":"article-journal","container-title":"Frontiers in Ecology and Evolution","DOI":"10.3389/fevo.2015.00148","ISSN":"2296-701X","journalAbbreviation":"Front. Ecol. Evol.","source":"DOI.org (Crossref)","title":"Prey Preferences of the Jaguar Panthera onca Reflect the Post-Pleistocene Demise of Large Prey","URL":"http://journal.frontiersin.org/Article/10.3389/fevo.2015.00148/abstract","volume":"3","author":[{"family":"Hayward","given":"Matt W."},{"family":"Kamler","given":"Jan F."},{"family":"Montgomery","given":"Robert A."},{"family":"Newlove","given":"Anna"},{"family":"Rostro-García","given":"Susana"},{"family":"Sales","given":"Lilian P."},{"family":"Van Valkenburgh","given":"Blaire"}],"accessed":{"date-parts":[["2025",7,7]]},"issued":{"date-parts":[["2016",1,25]]}},"label":"page"}],"schema":"https://github.com/citation-style-language/schema/raw/master/csl-citation.json"}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(Emmons 1987, Carrillo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2009, Hayward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2016, Miranda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2016)</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They have been documented feeding on &gt;85 species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{"citationID":"6rIx1aIR","properties":{"formattedCitation":"(Weckel {\\i{}et al.} 2006)","plainCitation":"(Weckel et al. 2006)","noteIndex":0},"citationItems":[{"id":8100,"uris":["http://zotero.org/users/11476620/items/ZA3FARMW"],"itemData":{"id":8100,"type":"article-journal","abstract":"Abstract\n            \n              Jaguars\n              Panthera onca\n              inhabiting tropical or subtropical evergreen moist forest have often been classified as opportunistic predators because they consume prey relative to its availability. However, these studies failed to address simultaneously the distribution of predator and prey through time and space, which may lead to an incomplete or erroneous understanding of jaguar foraging strategies. In this study, we reconstructed jaguar diet from scat, and used camera traps to investigate jaguar prey availability and the distribution of jaguar and its prey through space and time. We focused our examination of predator–prey temporal and spatial relations on forest infrastructure comprising man‐made paths, small mammal trails, tapir\n              Tapirus bairdi\n              trail and trail‐less, forested areas as they represent distinct habitats for prey selection. Overall, we observed high overlap between the prey used and available, suggestive of opportunistic foraging. However, jaguars exhibited selective tendencies in discriminating between larger prey. Jaguars used collared peccary\n              Tayassu tajacu\n              greater than its availability, while preying upon the equally abundant and similarly distributed white‐lipped peccary\n              Tayassu pecari\n              and tapir less than predicted based upon availability. Armadillo\n              Dasypus novemcinctus\n              and paca\n              Agouti paca\n              , 56.6% of total consumption, were consumed relative to availability but exhibited low spatial overlap with jaguar. Armadillo and paca used trail‐less, forested areas and small mammal trails not used by jaguar and were photographed more frequently at greater distances from man‐made paths, major thoroughfares for jaguars. This study suggests that although forest jaguars use prey relative to its abundance, jaguars may rely on foraging strategies other than chance encounters for exploiting prey.","container-title":"Journal of Zoology","DOI":"10.1111/j.1469-7998.2006.00106.x","ISSN":"0952-8369, 1469-7998","issue":"1","journalAbbreviation":"Journal of Zoology","language":"en","page":"25-30","source":"DOI.org (Crossref)","title":"Jaguar ( &lt;i&gt;Panthera onca&lt;/i&gt; ) feeding ecology: distribution of predator and prey through time and space","title-short":"Jaguar ( &lt;i&gt;Panthera onca&lt;/i&gt; ) feeding ecology","volume":"270","author":[{"family":"Weckel","given":"M."},{"family":"Giuliano","given":"W."},{"family":"Silver","given":"S."}],"issued":{"date-parts":[["2006",9]]}}}],"schema":"https://github.com/citation-style-language/schema/raw/master/csl-citation.json"}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(Weckel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2006)</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ranging from large mammals and cattle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{"citationID":"e1Dm8iym","properties":{"formattedCitation":"(Polisar {\\i{}et al.} 2003)","plainCitation":"(Polisar et al. 2003)","noteIndex":0},"citationItems":[{"id":8101,"uris":["http://zotero.org/users/11476620/items/6L9CE798"],"itemData":{"id":8101,"type":"article-journal","container-title":"Biological Conservation","DOI":"10.1016/S0006-3207(02)00157-X","ISSN":"00063207","issue":"2","journalAbbreviation":"Biological Conservation","language":"en","license":"https://www.elsevier.com/tdm/userlicense/1.0/","page":"297-310","source":"DOI.org (Crossref)","title":"Jaguars, pumas, their prey base, and cattle ranching: ecological interpretations of a management problem","title-short":"Jaguars, pumas, their prey base, and cattle ranching","volume":"109","author":[{"family":"Polisar","given":"John"},{"family":"Maxit","given":"Ines"},{"family":"Scognamillo","given":"Daniel"},{"family":"Farrell","given":"Laura"},{"family":"Sunquist","given":"Melvin E"},{"family":"Eisenberg","given":"John F"}],"issued":{"date-parts":[["2003",2]]}}}],"schema":"https://github.com/citation-style-language/schema/raw/master/csl-citation.json"}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(Polisar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2003)</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to small rodents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{"citationID":"SdVS6Xrf","properties":{"formattedCitation":"(Harmsen {\\i{}et al.} 2010)","plainCitation":"(Harmsen et al. 2010)","noteIndex":0},"citationItems":[{"id":8104,"uris":["http://zotero.org/users/11476620/items/8AX6N4VX"],"itemData":{"id":8104,"type":"chapter","ISBN":"978-0-19-923445-5","page":"403-416","publisher":"Oxford University Press","source":"eprints.soton.ac.uk","title":"The ecology of jaguars in the Cockscomb Basin Wildlife Sanctuary, Belize","URL":"https://eprints.soton.ac.uk/169289/","author":[{"family":"Harmsen","given":"B. J."},{"family":"Foster","given":"Rebecca J."},{"family":"Silver","given":"Scott C."},{"family":"Ostro","given":"Linda E. T."},{"family":"Doncaster","given":"C. Patrick"}],"contributor":[{"family":"Harmsen","given":"B. J."},{"family":"Foster","given":"Rebecca J."},{"family":"Silver","given":"Scott C."},{"family":"Ostro","given":"Linda E. T."},{"family":"Doncaster","given":"C. Patrick"},{"family":"Macdonald","given":"D. W."},{"family":"Loveridge","given":"A. J."}],"editor":[{"family":"Macdonald","given":"D. W."},{"family":"Loveridge","given":"A. J."}],"accessed":{"date-parts":[["2025",7,7]]},"issued":{"date-parts":[["2010"]]}}}],"schema":"https://github.com/citation-style-language/schema/raw/master/csl-citation.json"}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(Harmsen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2010)</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reptiles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{"citationID":"vTKys6Dj","properties":{"formattedCitation":"(Miranda {\\i{}et al.} 2016)","plainCitation":"(Miranda et al. 2016)","noteIndex":0},"citationItems":[{"id":8096,"uris":["http://zotero.org/users/11476620/items/K33LXFUT"],"itemData":{"id":8096,"type":"article-journal","container-title":"Journal of Natural History","DOI":"10.1080/00222933.2016.1180717","ISSN":"0022-2933, 1464-5262","issue":"31-32","journalAbbreviation":"Journal of Natural History","language":"en","page":"2021-2035","source":"DOI.org (Crossref)","title":"Reptiles as principal prey? Adaptations for durophagy and prey selection by jaguar ( &lt;i&gt;Panthera onca&lt;/i&gt; )","title-short":"Reptiles as principal prey?","volume":"50","author":[{"family":"Miranda","given":"Everton B.P."},{"family":"Menezes","given":"Jorge F.S. De"},{"family":"Rheingantz","given":"Marcelo L."}],"issued":{"date-parts":[["2016",8,25]]}}}],"schema":"https://github.com/citation-style-language/schema/raw/master/csl-citation.json"}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(Miranda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2016)</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and fish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{"citationID":"g4TprAce","properties":{"formattedCitation":"(Eriksson 2022)","plainCitation":"(Eriksson 2022)","noteIndex":0},"citationItems":[{"id":7974,"uris":["http://zotero.org/users/11476620/items/KD696GS5"],"itemData":{"id":7974,"type":"thesis","event-place":"Oregon","genre":"Doctoral","language":"English","note":"publisher: Oregon State University","publisher":"Oregon State Univeristy","publisher-place":"Oregon","title":"Effects of Aquatic Resource Subsidies on the Ecology of Terrestrial Top Predators","URL":"https://ir.library.oregonstate.edu/concern/graduate_thesis_or_dissertations/ws859p558","author":[{"family":"Eriksson","given":"Charlotte E."}],"issued":{"date-parts":[["2022"]]}}}],"schema":"https://github.com/citation-style-language/schema/raw/master/csl-citation.json"} </w:instrText>
      </w:r>
      <w:r w:rsidRPr="00D11827">
        <w:rPr>
          <w:rFonts w:ascii="Times New Roman" w:hAnsi="Times New Roman" w:cs="Times New Roman"/>
          <w:color w:val="000000" w:themeColor="text1"/>
        </w:rPr>
        <w:fldChar w:fldCharType="separate"/>
      </w:r>
      <w:r w:rsidR="00E21B60">
        <w:rPr>
          <w:rFonts w:ascii="Times New Roman" w:hAnsi="Times New Roman" w:cs="Times New Roman"/>
          <w:color w:val="000000" w:themeColor="text1"/>
        </w:rPr>
        <w:t>(Eriksson 2022)</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As a top predator, jaguars can shape the ecosystems they occupy through top-down regulation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{"citationID":"AS1qiveB","properties":{"formattedCitation":"(Ripple {\\i{}et al.} 2014, Hunter 2018)","plainCitation":"(Ripple et al. 2014, Hunter 2018)","noteIndex":0},"citationItems":[{"id":7948,"uris":["http://zotero.org/users/11476620/items/NAI59GXR"],"itemData":{"id":7948,"type":"book","event-place":"London","ISBN":"978-1-4729-8267-4","language":"eng","number-of-pages":"1","publisher":"Bloomsbury Publishing Plc","publisher-place":"London","source":"K10plus ISBN","title":"Field Guide to Carnivores of the World, 2nd Edition","author":[{"family":"Hunter","given":"Luke"}],"contributor":[{"family":"Barrett","given":"Priscilla"}],"issued":{"date-parts":[["2018"]]}},"label":"page"},{"id":7950,"uris":["http://zotero.org/users/11476620/items/5C4VB5W4"],"itemData":{"id":7950,"type":"article-journal","abstract":"Preserving Predators\n            \n              Large-bodied animals play essential roles in ecosystem structuring and stability through both indirect and direct trophic effects. In recent times, humans have disrupted this trophic structure through both habitat destruction and active extirpation of large predators, resulting in large declines in numbers and vast contractions in their geographic ranges.\n              \n                Ripple\n                et al.\n              \n              (\n              10.1126/science.1241484\n              ; see the Perspective by\n              \n                Roberts\n              \n              ) review the status, threats, and ecological importance of the 31 largest mammalian carnivores globally. These species are responsible for a suite of direct and indirect stabilizing effects in ecosystems. Current levels of decline are likely to result in ecologically ineffective population densities and can lead to ecosystem instability. The preservation of large carnivores can be challenging because of their need for large ranges and their potential for human conflict. However, the authors demonstrate that the preservation of large carnivores is ecologically important and that the need for conservation action is immediate, given the severity of the threats they face.\n            \n          , \n            Large carnivores face serious threats and are experiencing massive declines in their populations and geographic ranges around the world. We highlight how these threats have affected the conservation status and ecological functioning of the 31 largest mammalian carnivores on Earth. Consistent with theory, empirical studies increasingly show that large carnivores have substantial effects on the structure and function of diverse ecosystems. Significant cascading trophic interactions, mediated by their prey or sympatric mesopredators, arise when some of these carnivores are extirpated from or repatriated to ecosystems. Unexpected effects of trophic cascades on various taxa and processes include changes to bird, mammal, invertebrate, and herpetofauna abundance or richness; subsidies to scavengers; altered disease dynamics; carbon sequestration; modified stream morphology; and crop damage. Promoting tolerance and coexistence with large carnivores is a crucial societal challenge that will ultimately determine the fate of  Earth’s largest carnivores and all that depends upon them, including humans.","container-title":"Science","DOI":"10.1126/science.1241484","ISSN":"0036-8075, 1095-9203","issue":"6167","journalAbbreviation":"Science","language":"en","page":"1241484","source":"DOI.org (Crossref)","title":"Status and Ecological Effects of the World’s Largest Carnivores","volume":"343","author":[{"family":"Ripple","given":"William J."},{"family":"Estes","given":"James A."},{"family":"Beschta","given":"Robert L."},{"family":"Wilmers","given":"Christopher C."},{"family":"Ritchie","given":"Euan G."},{"family":"Hebblewhite","given":"Mark"},{"family":"Berger","given":"Joel"},{"family":"Elmhagen","given":"Bodil"},{"family":"Letnic","given":"Mike"},{"family":"Nelson","given":"Michael P."},{"family":"Schmitz","given":"Oswald J."},{"family":"Smith","given":"Douglas W."},{"family":"Wallach","given":"Arian D."},{"family":"Wirsing","given":"Aaron J."}],"issued":{"date-parts":[["2014",1,10]]}},"label":"page"}],"schema":"https://github.com/citation-style-language/schema/raw/master/csl-citation.json"}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(Ripple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2014, Hunter 2018)</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and competitive exclusion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{"citationID":"FpSvbGbm","properties":{"formattedCitation":"(Moreno {\\i{}et al.} 2006)","plainCitation":"(Moreno et al. 2006)","noteIndex":0},"citationItems":[{"id":8106,"uris":["http://zotero.org/users/11476620/items/99EXFHTZ"],"itemData":{"id":8106,"type":"article-journal","container-title":"Journal of Mammalogy","DOI":"10.1644/05-MAMM-A-360R2.1","ISSN":"0022-2372, 1545-1542","issue":"4","journalAbbreviation":"Journal of Mammalogy","language":"en","page":"808-816","source":"DOI.org (Crossref)","title":"COMPETITIVE RELEASE IN DIETS OF OCELOT (LEOPARDUS PARDALIS) AND PUMA (PUMA CONCOLOR) AFTER JAGUAR (PANTHERA ONCA) DECLINE","volume":"87","author":[{"family":"Moreno","given":"Ricardo S."},{"family":"Kays","given":"Roland W."},{"family":"Samudio","given":"Rafael"}],"issued":{"date-parts":[["2006",8]]}}}],"schema":"https://github.com/citation-style-language/schema/raw/master/csl-citation.json"}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(Moreno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2006)</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However, jaguars’ own ecology is also heavily impacted by their feeding ecology. For instance, their body mass ranges from ~56kg (males), ~41kg (females) in Central America to ~105kg (males), ~77 kg (females) in the Pantanal, and is thought to be governed by their hunting decisions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{"citationID":"qAKssJpY","properties":{"formattedCitation":"(Hayward {\\i{}et al.} 2016)","plainCitation":"(Hayward et al. 2016)","noteIndex":0},"citationItems":[{"id":8098,"uris":["http://zotero.org/users/11476620/items/6N626I4B"],"itemData":{"id":8098,"type":"article-journal","container-title":"Frontiers in Ecology and Evolution","DOI":"10.3389/fevo.2015.00148","ISSN":"2296-701X","journalAbbreviation":"Front. Ecol. Evol.","source":"DOI.org (Crossref)","title":"Prey Preferences of the Jaguar Panthera onca Reflect the Post-Pleistocene Demise of Large Prey","URL":"http://journal.frontiersin.org/Article/10.3389/fevo.2015.00148/abstract","volume":"3","author":[{"family":"Hayward","given":"Matt W."},{"family":"Kamler","given":"Jan F."},{"family":"Montgomery","given":"Robert A."},{"family":"Newlove","given":"Anna"},{"family":"Rostro-García","given":"Susana"},{"family":"Sales","given":"Lilian P."},{"family":"Van Valkenburgh","given":"Blaire"}],"accessed":{"date-parts":[["2025",7,7]]},"issued":{"date-parts":[["2016",1,25]]}}}],"schema":"https://github.com/citation-style-language/schema/raw/master/csl-citation.json"}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(Hayward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2016)</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Similarly, while they tend towards solitary behaviour with social interactions limited to mating and territorial disputes throughout much of their range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{"citationID":"qHMwrror","properties":{"formattedCitation":"(Sunquist &amp; Sunquist 2002, Kanda {\\i{}et al.} 2019, Cruz {\\i{}et al.} 2021)","plainCitation":"(Sunquist &amp; Sunquist 2002, Kanda et al. 2019, Cruz et al. 2021)","noteIndex":0},"citationItems":[{"id":8107,"uris":["http://zotero.org/users/11476620/items/3YTZ6UYK"],"itemData":{"id":8107,"type":"book","abstract":"Did you know that European royalty once used cheetahs to hunt deer, or that caracals can capture birds by leaping six and a half feet straight up into the air from a standing start? Have you ever wondered whether domestic cats really do land on their feet when they fall, or how Canada lynx can stalk their prey in the winter without falling through the deep snow?Wild Cats of the World is a treasure trove of answers to questions like these, and many others, for anyone who’s interested in learning more about the world’s felids, including the ones with whom we share our homes. Mel and Fiona Sunquist have spent more than a decade gathering information about cats from every available source, many of them quite difficult to find, including scientific papers, descriptions of hunts, archeological findings, observations by naturalists and travelers, reports from government agencies, and newsletters from a wide variety of organizations. Weaving information from these sources together with their own experiences observing wild cats around the world, the Sunquists have created the most comprehensive reference on felids available. Each of their accounts of the 36 species of cat contains a description of the cat, including human interactions with it, as well as detailed data on its distribution, ecology and behavior, status in the wild, and efforts to conserve it. Numerous photographs, including more than 40 in full color, illustrate these accounts.Ranging from the two-pound black-footed cat to the five-hundred-pound tiger, and from the African serval with its satellite-dish ears to the web-footed fishing cat of Asia, Wild Cats of the World will fascinate and educate felid fans of any stripe (or spot).","event-place":"Chicago, IL","ISBN":"978-0-226-77999-7","language":"en","number-of-pages":"462","publisher":"University of Chicago Press","publisher-place":"Chicago, IL","source":"University of Chicago Press","title":"Wild Cats of the World","URL":"https://press.uchicago.edu/ucp/books/book/chicago/W/bo3643502.html","author":[{"family":"Sunquist","given":"Mel"},{"family":"Sunquist","given":"Fiona"}],"accessed":{"date-parts":[["2025",7,7]]},"issued":{"date-parts":[["2002",8]]}},"label":"page"},{"id":8286,"uris":["http://zotero.org/users/11476620/items/3FBTT7Z3"],"itemData":{"id":8286,"type":"article-journal","abstract":"Abstract\n            \n              Patterns of space use by an individual emerge as a result of their movements, and their decisions of when and where to move are related to the distribution of resources needed for their survival and reproduction. Solitary species are characterized by limited social interaction with conspecifics, moving independently or maintaining a spatiotemporal avoidance of them, except during courtship or parental care. The present study aimed to analyze the effect of various factors on space use by jaguars (\n              Panthera onca\n              ) in the Pantanal of Brazil. We used step selection functions (\n              SSF\n              ) to evaluate the effect of the tendency to return to the home‐range center (\n              HRC\n              ), habitat, time of day and distance to conspecifics on jaguars’ space use. Five jaguars with partially overlapping home ranges were simultaneously monitored using\n              global positioning system\n              collars. The results indicate that the main factors guiding individual movement are the spatiotemporal movements of conspecifics, differences in\n              HRC\n              between sexes, and the variations in habitat type throughout the day. Tracked females presented strong\n              HRC\n              , limiting their movements to the vicinity of their HRC, while the single tracked male did not. The habitat varies throughout the day, according to daily activities; forest and water bodies were selected all day long, but especially at night, when the species is more active and hunting. Tracked male and females selected areas that maximized the likelihood of encountering a female, but females avoided areas with a likelihood of encountering the single tracked male. Our findings allowed us to propose the solitary species’ space use, highlighting the relevance of including conspecifics as factors in the selection or avoidance of determined areas.","container-title":"Journal of Zoology","DOI":"10.1111/jzo.12655","ISSN":"0952-8369, 1469-7998","issue":"1","journalAbbreviation":"Journal of Zoology","language":"en","page":"66-74","source":"DOI.org (Crossref)","title":"Spatiotemporal dynamics of conspecific movement explain a solitary carnivore's space use","volume":"308","author":[{"family":"Kanda","given":"C. Z."},{"family":"Oliveira‐Santos","given":"L. G. R."},{"family":"Morato","given":"R. G."},{"family":"De Paula","given":"R. C."},{"family":"Rampim","given":"L. E."},{"family":"Sartorello","given":"L."},{"family":"Haberfeld","given":"M."},{"family":"Galetti","given":"M."},{"family":"Cezar Ribeiro","given":"M."}],"issued":{"date-parts":[["2019",5]]}},"label":"page"},{"id":8287,"uris":["http://zotero.org/users/11476620/items/B8LI2468"],"itemData":{"id":8287,"type":"article-journal","abstract":"Abstract\n            \n              Our research is the most comprehensive study of jaguar behavior ecology in Mexico. By analyzing and describing the movements and use of the space, as well as the interactions among individual jaguars, we can better understand their behavioral differences, habitat use, and home range. This type of information is critical for the development and implementation of effective and appropriate conservation strategies. We identified home range size for 14 jaguars in a 13‐year period and described the interspecific relations and use of space by the percentages of overlap of the territories between individuals. Collectively, the average home range size was larger than 200 km\n              2\n              , ranging from 48 to 633 km\n              2\n              and averaging 296 km\n              2\n              for males varied and 37–435 km\n              2\n              , with an average of 148 km\n              2\n              , for females. However, home range sizes did not differ significantly among males or females. Male territory overlapped about 3.3% on average (range 2.5–15.5%), suggesting that most of the time males avoid each other. Average overlap of female territory was 12%, ranging from 7 to 100%. Males share an average of 18% (range 2–56%) of its territory and with up to five females, suggesting that a given male may be related to all of them at certain periods of time. There were no seasonal changes (dry and rainy seasons) in home range sizes for both male and females. Our research is an important contribution to the ecological information essential for landscape‐level conservation plans for the protection of the jaguars and the biological diversity of the wider Yucatan Peninsula in which they inhabit.","container-title":"Conservation Science and Practice","DOI":"10.1111/csp2.328","ISSN":"2578-4854, 2578-4854","issue":"2","journalAbbreviation":"Conservat Sci and Prac","language":"en","page":"e328","source":"DOI.org (Crossref)","title":"Top predator ecology and conservation: Lesson from jaguars in southeastern Mexico","title-short":"Top predator ecology and conservation","volume":"3","author":[{"family":"Cruz","given":"Carlos"},{"family":"Zarza","given":"Heliot"},{"family":"Vidal‐Mateo","given":"Javier"},{"family":"Urios","given":"Vicente"},{"family":"Ceballos","given":"Gerardo"}],"issued":{"date-parts":[["2021",2]]}},"label":"page"}],"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(Sunquist &amp; Sunquist 2002, Kanda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2019, Cruz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2021)</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favourable prey conditions can lead to territorial breakdowns, more frequent interactions, and male-male coalitions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{"citationID":"w2mgeqlY","properties":{"formattedCitation":"(Polisar {\\i{}et al.} 2003, De Azevedo &amp; Murray 2007, J\\uc0\\u281{}drzejewski {\\i{}et al.} 2022)","plainCitation":"(Polisar et al. 2003, De Azevedo &amp; Murray 2007, Jędrzejewski et al. 2022)","noteIndex":0},"citationItems":[{"id":8101,"uris":["http://zotero.org/users/11476620/items/6L9CE798"],"itemData":{"id":8101,"type":"article-journal","container-title":"Biological Conservation","DOI":"10.1016/S0006-3207(02)00157-X","ISSN":"00063207","issue":"2","journalAbbreviation":"Biological Conservation","language":"en","license":"https://www.elsevier.com/tdm/userlicense/1.0/","page":"297-310","source":"DOI.org (Crossref)","title":"Jaguars, pumas, their prey base, and cattle ranching: ecological interpretations of a management problem","title-short":"Jaguars, pumas, their prey base, and cattle ranching","volume":"109","author":[{"family":"Polisar","given":"John"},{"family":"Maxit","given":"Ines"},{"family":"Scognamillo","given":"Daniel"},{"family":"Farrell","given":"Laura"},{"family":"Sunquist","given":"Melvin E"},{"family":"Eisenberg","given":"John F"}],"issued":{"date-parts":[["2003",2]]}},"label":"page"},{"id":8290,"uris":["http://zotero.org/users/11476620/items/NBZPLCHI"],"itemData":{"id":8290,"type":"article-journal","abstract":"Abstract\n              \n                Most large felids are classified as solitary species, with only lions (\n                Panthera leo\n                ) and cheetahs (\n                Acinonyx jubatus\n                ) exhibiting social, collaborative behaviours. Herein, we present evidence of the formation of male coalitions by jaguars (\n                Panthera onca\n                ), based on data from five studies conducted with camera trapping, GPS telemetry, and direct observations in the Venezuelan Llanos and Brazilian Pantanal. Out of 7062 male records obtained with camera traps or visual observations, we detected 105 cases of male-male interactions, of which we classified 18 as aggression, nine as tolerance, 70 as cooperation/coalition, and eight as unidentified. In two studies, two male jaguars formed stable coalitions lasting over 7 years each. In the Llanos, each coalition male paired and mated with several females. For male jaguar coalitions, we documented similar behaviours as recorded earlier in lions or cheetahs, which included patrolling and marking territory together, invading territories of other males, collaborative chasing and killing other jaguars, and sharing prey. However, different from lions or cheetahs, associated male jaguars spent less time together, did not cooperate with females, and did not hunt cooperatively together. Our analysis of literature suggested that male jaguar coalitions were more likely to form when females had small home range size, a proxy of females’ concentration, while in lions, the male group size was directly correlated with the female group size. Similarly, locally concentrated access to females may drive formation of male coalitions in cheetahs. We conclude that high biomass and aggregation of prey are likely drivers of sociality in felids.\n              \n            \n            \n              Significance statement\n              The division into social and solitary species in large felids has so far seemed unambiguous, with only lions and cheetahs classified as social species, in which male coalitions also occurred. Our data show that, under certain conditions, male coalitions may also form in jaguar populations. Factors that drive formation of male coalitions in lions and cheetahs, but not in other species of large cats, have not been clear until now. Our analyses indicate that in jaguars, lions, and cheetahs, the concentration of females likely plays the most important role. In jaguars, the probability of male coalition occurrence is highest in populations with the smallest mean female home range size (and thus likely high local density of females), while in lions, male group size is most strongly correlated with female group size.","container-title":"Behavioral Ecology and Sociobiology","DOI":"10.1007/s00265-022-03232-3","ISSN":"0340-5443, 1432-0762","issue":"9","journalAbbreviation":"Behav Ecol Sociobiol","language":"en","page":"121","source":"DOI.org (Crossref)","title":"Collaborative behaviour and coalitions in male jaguars (Panthera onca)—evidence and comparison with other felids","volume":"76","author":[{"family":"Jędrzejewski","given":"Włodzimierz"},{"family":"Hoogesteijn","given":"Rafael"},{"family":"Devlin","given":"Allison L."},{"family":"Tortato","given":"Fernando"},{"family":"Concone","given":"Henrique Villas Boas"},{"family":"Azevedo","given":"Fernando"},{"family":"Eriksson","given":"Charlotte E."},{"family":"Fragoso","given":"Carlos Eduardo"},{"family":"Abarca","given":"Maria"},{"family":"Morato","given":"Ronaldo G."},{"family":"Giordano","given":"Anthony J."},{"family":"Hoogesteijn","given":"Almira"},{"family":"Rampim","given":"Lilian"},{"family":"Gamarra","given":"Gertrudis"},{"family":"Carreño","given":"Rafael"},{"family":"Velásquez","given":"Grisel"},{"family":"Schmidt","given":"Krzysztof"}],"issued":{"date-parts":[["2022",9]]}},"label":"page"},{"id":8292,"uris":["http://zotero.org/users/11476620/items/EIUHZVQS"],"itemData":{"id":8292,"type":"article-journal","container-title":"Biological Conservation","DOI":"10.1016/j.biocon.2007.02.022","ISSN":"00063207","issue":"3","journalAbbreviation":"Biological Conservation","language":"en","license":"https://www.elsevier.com/tdm/userlicense/1.0/","page":"391-402","source":"DOI.org (Crossref)","title":"Spatial organization and food habits of jaguars (Panthera onca) in a floodplain forest","volume":"137","author":[{"family":"De Azevedo","given":"Fernando Cesar Cascelli"},{"family":"Murray","given":"Dennis Lewis"}],"issued":{"date-parts":[["2007",7]]}},"label":"page"}],"schema":"https://github.com/citation-style-language/schema/raw/master/csl-citation.json"}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(Polisar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2003, De Azevedo &amp; Murray 2007, Jędrzejewski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2022)</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For instance, populations that rely on abundant aquatic prey bases have been found to exhibit cooperative fishing, co-traveling, and play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{"citationID":"1aaNTUg4","properties":{"formattedCitation":"(Eriksson 2022)","plainCitation":"(Eriksson 2022)","noteIndex":0},"citationItems":[{"id":7974,"uris":["http://zotero.org/users/11476620/items/KD696GS5"],"itemData":{"id":7974,"type":"thesis","event-place":"Oregon","genre":"Doctoral","language":"English","note":"publisher: Oregon State University","publisher":"Oregon State Univeristy","publisher-place":"Oregon","title":"Effects of Aquatic Resource Subsidies on the Ecology of Terrestrial Top Predators","URL":"https://ir.library.oregonstate.edu/concern/graduate_thesis_or_dissertations/ws859p558","author":[{"family":"Eriksson","given":"Charlotte E."}],"issued":{"date-parts":[["2022"]]}}}],"schema":"https://github.com/citation-style-language/schema/raw/master/csl-citation.json"} </w:instrText>
      </w:r>
      <w:r w:rsidRPr="00D11827">
        <w:rPr>
          <w:rFonts w:ascii="Times New Roman" w:hAnsi="Times New Roman" w:cs="Times New Roman"/>
          <w:color w:val="000000" w:themeColor="text1"/>
        </w:rPr>
        <w:fldChar w:fldCharType="separate"/>
      </w:r>
      <w:r w:rsidR="00E21B60">
        <w:rPr>
          <w:rFonts w:ascii="Times New Roman" w:hAnsi="Times New Roman" w:cs="Times New Roman"/>
          <w:color w:val="000000" w:themeColor="text1"/>
        </w:rPr>
        <w:t>(Eriksson 2022)</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Given jaguars’ high degree of morphological, dietary, and behaviour plasticity, alongside their keystone role in shaping the ecosystems they occupy </w:t>
      </w:r>
      <w:r w:rsidRPr="00D11827">
        <w:rPr>
          <w:rFonts w:ascii="Times New Roman" w:hAnsi="Times New Roman" w:cs="Times New Roman"/>
          <w:color w:val="000000" w:themeColor="text1"/>
        </w:rPr>
        <w:lastRenderedPageBreak/>
        <w:fldChar w:fldCharType="begin"/>
      </w:r>
      <w:r w:rsidR="00E21B60">
        <w:rPr>
          <w:rFonts w:ascii="Times New Roman" w:hAnsi="Times New Roman" w:cs="Times New Roman"/>
          <w:color w:val="000000" w:themeColor="text1"/>
        </w:rPr>
        <w:instrText xml:space="preserve"> ADDIN ZOTERO_ITEM CSL_CITATION {"citationID":"nyVXp09G","properties":{"formattedCitation":"(Ripple {\\i{}et al.} 2014, Tossens {\\i{}et al.} 2025)","plainCitation":"(Ripple et al. 2014, Tossens et al. 2025)","noteIndex":0},"citationItems":[{"id":7950,"uris":["http://zotero.org/users/11476620/items/5C4VB5W4"],"itemData":{"id":7950,"type":"article-journal","abstract":"Preserving Predators\n            \n              Large-bodied animals play essential roles in ecosystem structuring and stability through both indirect and direct trophic effects. In recent times, humans have disrupted this trophic structure through both habitat destruction and active extirpation of large predators, resulting in large declines in numbers and vast contractions in their geographic ranges.\n              \n                Ripple\n                et al.\n              \n              (\n              10.1126/science.1241484\n              ; see the Perspective by\n              \n                Roberts\n              \n              ) review the status, threats, and ecological importance of the 31 largest mammalian carnivores globally. These species are responsible for a suite of direct and indirect stabilizing effects in ecosystems. Current levels of decline are likely to result in ecologically ineffective population densities and can lead to ecosystem instability. The preservation of large carnivores can be challenging because of their need for large ranges and their potential for human conflict. However, the authors demonstrate that the preservation of large carnivores is ecologically important and that the need for conservation action is immediate, given the severity of the threats they face.\n            \n          , \n            Large carnivores face serious threats and are experiencing massive declines in their populations and geographic ranges around the world. We highlight how these threats have affected the conservation status and ecological functioning of the 31 largest mammalian carnivores on Earth. Consistent with theory, empirical studies increasingly show that large carnivores have substantial effects on the structure and function of diverse ecosystems. Significant cascading trophic interactions, mediated by their prey or sympatric mesopredators, arise when some of these carnivores are extirpated from or repatriated to ecosystems. Unexpected effects of trophic cascades on various taxa and processes include changes to bird, mammal, invertebrate, and herpetofauna abundance or richness; subsidies to scavengers; altered disease dynamics; carbon sequestration; modified stream morphology; and crop damage. Promoting tolerance and coexistence with large carnivores is a crucial societal challenge that will ultimately determine the fate of  Earth’s largest carnivores and all that depends upon them, including humans.","container-title":"Science","DOI":"10.1126/science.1241484","ISSN":"0036-8075, 1095-9203","issue":"6167","journalAbbreviation":"Science","language":"en","page":"1241484","source":"DOI.org (Crossref)","title":"Status and Ecological Effects of the World’s Largest Carnivores","volume":"343","author":[{"family":"Ripple","given":"William J."},{"family":"Estes","given":"James A."},{"family":"Beschta","given":"Robert L."},{"family":"Wilmers","given":"Christopher C."},{"family":"Ritchie","given":"Euan G."},{"family":"Hebblewhite","given":"Mark"},{"family":"Berger","given":"Joel"},{"family":"Elmhagen","given":"Bodil"},{"family":"Letnic","given":"Mike"},{"family":"Nelson","given":"Michael P."},{"family":"Schmitz","given":"Oswald J."},{"family":"Smith","given":"Douglas W."},{"family":"Wallach","given":"Arian D."},{"family":"Wirsing","given":"Aaron J."}],"issued":{"date-parts":[["2014",1,10]]}},"label":"page"},{"id":8293,"uris":["http://zotero.org/users/11476620/items/2TAC7CIY"],"itemData":{"id":8293,"type":"article-journal","abstract":"ABSTRACT\n            \n              \n                \n                  Carnivores, often identified as keystone species, can influence prey and subordinate carnivores through density‐ and behaviourally mediated pathways. Although the magnitude of their impacts remains debated, carnivores may trigger successional direct and indirect ecological effects on lower trophic levels in specific contexts, commonly known as trophic cascades. Felids, as ambush predators, have great potential to impact food webs. Yet, their influence on ecosystem dynamics remains understudied.\n                \n                \n                  This global comprehensive literature review aimed to assess evidence for felids' ecological roles in trophic cascades across both natural and human‐dominated ecosystems.\n                \n                \n                  \n                    We found 61 publications that studied the influence of 18 felid species in trophic cascades. Research exhibited taxonomic and geographic biases, favouring big cats, temperate regions and biomes, as well as tropical moist forests in Central and South America. Of the studies, 23% (\n                    n\n                     = 14) were experimental, while 77% were observational or correlative. Among the latter, 60% tested at least one alternative hypothesis and 47% examined bottom‐up processes.\n                  \n                \n                \n                  Despite varying levels of inference, 80% of studies provide information consistent with trophic cascades involving felids. Their examination confirmed wild cats' ability to induce density‐ and behaviourally mediated trophic cascades, thereby influencing critical biotic and abiotic processes, including mesopredator control, functional diversity maintenance, and carbon storage. The magnitude of these effects may be altered in human‐dominated landscapes, although current research effort remains too limited to draw conclusions.\n                \n                \n                  In conclusion, felids may act as drivers of ecosystem change, and acknowledging their ecological roles can aid in promoting their conservation. However, we encourage more strongly inferential and comprehensive investigations into felid‐mediated trophic cascades, prioritising research on small cats, felids in Asia and Africa, and the impacts of humans on trophic cascades, which can help to better inform conservation interventions and perspectives.","container-title":"Mammal Review","DOI":"10.1111/mam.12358","ISSN":"0305-1838, 1365-2907","issue":"1","journalAbbreviation":"Mammal Review","language":"en","page":"e12358","source":"DOI.org (Crossref)","title":"Wild felids in trophic cascades: a global review","title-short":"Wild felids in trophic cascades","volume":"55","author":[{"family":"Tossens","given":"Sarah"},{"family":"Drouilly","given":"Marine"},{"family":"Lhoest","given":"Simon"},{"family":"Vermeulen","given":"Cédric"},{"family":"Doucet","given":"Jean‐Louis"}],"issued":{"date-parts":[["2025",1]]}},"label":"page"}],"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(Ripple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2014, Tossens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2025)</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it is important to understand how jaguar ecology changes throughout their range.</w:t>
      </w:r>
    </w:p>
    <w:p w14:paraId="4868DFDE" w14:textId="00483AAD" w:rsidR="003D4EB1" w:rsidRPr="00D11827" w:rsidRDefault="00000000" w:rsidP="00D11827">
      <w:pPr>
        <w:spacing w:after="60" w:line="480" w:lineRule="auto"/>
        <w:ind w:firstLine="720"/>
        <w:rPr>
          <w:rFonts w:ascii="Times New Roman" w:hAnsi="Times New Roman" w:cs="Times New Roman"/>
          <w:color w:val="000000" w:themeColor="text1"/>
        </w:rPr>
      </w:pPr>
      <w:r w:rsidRPr="00D11827">
        <w:rPr>
          <w:rFonts w:ascii="Times New Roman" w:hAnsi="Times New Roman" w:cs="Times New Roman"/>
          <w:color w:val="000000" w:themeColor="text1"/>
        </w:rPr>
        <w:t xml:space="preserve">Although jaguars are currently listed as near threatened by the IUCN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{"citationID":"zGQiJuFr","properties":{"formattedCitation":"(IUCN 2016)","plainCitation":"(IUCN 2016)","noteIndex":0},"citationItems":[{"id":8109,"uris":["http://zotero.org/users/11476620/items/MCJZX3XY","http://zotero.org/users/11476620/items/CVAA2ZSR"],"itemData":{"id":8109,"type":"dataset","abstract":"This assessment represents an errata change for the assessment with ID 50658693.","DOI":"10.2305/IUCN.UK.2017-3.RLTS.T15953A50658693.en","language":"en","note":"Institution: International Union for Conservation of Nature","source":"DOI.org (Crossref)","title":"Panthera onca: Quigley, H., Foster, R., Petracca, L., Payan, E., Salom, R. &amp; Harmsen, B.: The IUCN Red List of Threatened Species 2017: e.T15953A123791436","title-short":"Panthera onca","URL":"https://www.iucnredlist.org/species/15953/123791436","author":[{"literal":"IUCN"}],"accessed":{"date-parts":[["2025",7,7]]},"issued":{"date-parts":[["2016",8,5]]}}}],"schema":"https://github.com/citation-style-language/schema/raw/master/csl-citation.json"} </w:instrText>
      </w:r>
      <w:r w:rsidRPr="00D11827">
        <w:rPr>
          <w:rFonts w:ascii="Times New Roman" w:hAnsi="Times New Roman" w:cs="Times New Roman"/>
          <w:color w:val="000000" w:themeColor="text1"/>
        </w:rPr>
        <w:fldChar w:fldCharType="separate"/>
      </w:r>
      <w:r w:rsidR="00E21B60">
        <w:rPr>
          <w:rFonts w:ascii="Times New Roman" w:hAnsi="Times New Roman" w:cs="Times New Roman"/>
          <w:color w:val="000000" w:themeColor="text1"/>
        </w:rPr>
        <w:t>(IUCN 2016)</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and occupy only about half of their historical distribution, due primarily to habitat loss, human conflict, and prey decline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{"citationID":"9h3TwgLs","properties":{"formattedCitation":"(Arroyo-Arce {\\i{}et al.} 2014, J\\uc0\\u281{}drzejewski {\\i{}et al.} 2017, 2018, Anile {\\i{}et al.} 2020)","plainCitation":"(Arroyo-Arce et al. 2014, Jędrzejewski et al. 2017, 2018, Anile et al. 2020)","noteIndex":0},"citationItems":[{"id":7958,"uris":["http://zotero.org/users/11476620/items/I7JSRMNS"],"itemData":{"id":7958,"type":"article-journal","container-title":"Revista de Biología Tropical","ISSN":"0034-7744","issue":"4","language":"en","note":"publisher: http://creativecommons.org/licenses/by/3.0","page":"1449-1458","source":"SciELO","title":"Habitat features influencing jaguar Panthera onca (Carnivora: Felidae) occupancy in Tortuguero National Park, Costa Rica","title-short":"Habitat features influencing jaguar Panthera onca (Carnivora","volume":"62","author":[{"family":"Arroyo-Arce","given":"Stephanny"},{"family":"Guilder","given":"James"},{"family":"Salom-Pérez","given":"Roberto"}],"issued":{"date-parts":[["2014",12]]}},"label":"page"},{"id":7960,"uris":["http://zotero.org/users/11476620/items/HWSP4K8V"],"itemData":{"id":7960,"type":"article-journal","container-title":"Mammal Research","DOI":"10.1007/s13364-020-00511-0","ISSN":"2199-2401, 2199-241X","issue":"4","journalAbbreviation":"Mamm Res","language":"en","page":"667-677","source":"DOI.org (Crossref)","title":"Determinants of jaguar occupancy at the northern range edge","volume":"65","author":[{"family":"Anile","given":"Stefano"},{"family":"Greenspan","given":"Evan"},{"family":"Nielsen","given":"Clayton K."}],"issued":{"date-parts":[["2020",10]]}},"label":"page"},{"id":7961,"uris":["http://zotero.org/users/11476620/items/RHFCXUC7"],"itemData":{"id":7961,"type":"article-journal","container-title":"Biological Conservation","DOI":"10.1016/j.biocon.2016.09.027","ISSN":"00063207","journalAbbreviation":"Biological Conservation","language":"en","page":"132-142","source":"DOI.org (Crossref)","title":"Predicting carnivore distribution and extirpation rate based on human impacts and productivity factors; assessment of the state of jaguar (Panthera onca) in Venezuela","volume":"206","author":[{"family":"Jędrzejewski","given":"Włodzimierz"},{"family":"Boede","given":"Ernesto O."},{"family":"Abarca","given":"María"},{"family":"Sánchez-Mercado","given":"Ada"},{"family":"Ferrer-Paris","given":"José R."},{"family":"Lampo","given":"Margarita"},{"family":"Velásquez","given":"Grisel"},{"family":"Carreño","given":"Rafael"},{"family":"Viloria","given":"Ángel L."},{"family":"Hoogesteijn","given":"Rafael"},{"family":"Robinson","given":"Hugh S."},{"family":"Stachowicz","given":"Izabela"},{"family":"Cerda","given":"Hugo"},{"family":"Weisz","given":"María Del Mar"},{"family":"Barros","given":"Tito R."},{"family":"Rivas","given":"Gilson A."},{"family":"Borges","given":"Gilberto"},{"family":"Molinari","given":"Jesús"},{"family":"Lew","given":"Daniel"},{"family":"Takiff","given":"Howard"},{"family":"Schmidt","given":"Krzysztof"}],"issued":{"date-parts":[["2017",2]]}},"label":"page"},{"id":7962,"uris":["http://zotero.org/users/11476620/items/F5T472IA"],"itemData":{"id":7962,"type":"article-journal","container-title":"PLOS ONE","DOI":"10.1371/journal.pone.0194719","ISSN":"1932-6203","issue":"3","journalAbbreviation":"PLoS ONE","language":"en","page":"e0194719","source":"DOI.org (Crossref)","title":"Estimating large carnivore populations at global scale based on spatial predictions of density and distribution – Application to the jaguar (Panthera onca)","volume":"13","author":[{"family":"Jędrzejewski","given":"Włodzimierz"},{"family":"Robinson","given":"Hugh S."},{"family":"Abarca","given":"Maria"},{"family":"Zeller","given":"Katherine A."},{"family":"Velasquez","given":"Grisel"},{"family":"Paemelaere","given":"Evi A. D."},{"family":"Goldberg","given":"Joshua F."},{"family":"Payan","given":"Esteban"},{"family":"Hoogesteijn","given":"Rafael"},{"family":"Boede","given":"Ernesto O."},{"family":"Schmidt","given":"Krzysztof"},{"family":"Lampo","given":"Margarita"},{"family":"Viloria","given":"Ángel L."},{"family":"Carreño","given":"Rafael"},{"family":"Robinson","given":"Nathaniel"},{"family":"Lukacs","given":"Paul M."},{"family":"Nowak","given":"J. Joshua"},{"family":"Salom-Pérez","given":"Roberto"},{"family":"Castañeda","given":"Franklin"},{"family":"Boron","given":"Valeria"},{"family":"Quigley","given":"Howard"}],"editor":[{"family":"Hagen","given":"Christian Andrew"}],"issued":{"date-parts":[["2018",3,26]]}},"label":"page"}],"schema":"https://github.com/citation-style-language/schema/raw/master/csl-citation.json"}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(Arroyo-Arce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2014, Jędrzejewski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2017, 2018, Anile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2020)</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they still remain widely distributed across various biomes in Brazil, including the Amazon, which harbours the highest remaining densities and thus represents a stronghold for their conservation. While an extensive body of research has elucidated the species’ ecology across a range of continental environments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{"citationID":"T0Us5V6S","properties":{"formattedCitation":"(Morato {\\i{}et al.} 2016, Cruz {\\i{}et al.} 2021, Bejarano Alegre {\\i{}et al.} 2024, Moreno {\\i{}et al.} 2025)","plainCitation":"(Morato et al. 2016, Cruz et al. 2021, Bejarano Alegre et al. 2024, Moreno et al. 2025)","noteIndex":0},"citationItems":[{"id":8287,"uris":["http://zotero.org/users/11476620/items/B8LI2468"],"itemData":{"id":8287,"type":"article-journal","abstract":"Abstract\n            \n              Our research is the most comprehensive study of jaguar behavior ecology in Mexico. By analyzing and describing the movements and use of the space, as well as the interactions among individual jaguars, we can better understand their behavioral differences, habitat use, and home range. This type of information is critical for the development and implementation of effective and appropriate conservation strategies. We identified home range size for 14 jaguars in a 13‐year period and described the interspecific relations and use of space by the percentages of overlap of the territories between individuals. Collectively, the average home range size was larger than 200 km\n              2\n              , ranging from 48 to 633 km\n              2\n              and averaging 296 km\n              2\n              for males varied and 37–435 km\n              2\n              , with an average of 148 km\n              2\n              , for females. However, home range sizes did not differ significantly among males or females. Male territory overlapped about 3.3% on average (range 2.5–15.5%), suggesting that most of the time males avoid each other. Average overlap of female territory was 12%, ranging from 7 to 100%. Males share an average of 18% (range 2–56%) of its territory and with up to five females, suggesting that a given male may be related to all of them at certain periods of time. There were no seasonal changes (dry and rainy seasons) in home range sizes for both male and females. Our research is an important contribution to the ecological information essential for landscape‐level conservation plans for the protection of the jaguars and the biological diversity of the wider Yucatan Peninsula in which they inhabit.","container-title":"Conservation Science and Practice","DOI":"10.1111/csp2.328","ISSN":"2578-4854, 2578-4854","issue":"2","journalAbbreviation":"Conservat Sci and Prac","language":"en","page":"e328","source":"DOI.org (Crossref)","title":"Top predator ecology and conservation: Lesson from jaguars in southeastern Mexico","title-short":"Top predator ecology and conservation","volume":"3","author":[{"family":"Cruz","given":"Carlos"},{"family":"Zarza","given":"Heliot"},{"family":"Vidal‐Mateo","given":"Javier"},{"family":"Urios","given":"Vicente"},{"family":"Ceballos","given":"Gerardo"}],"issued":{"date-parts":[["2021",2]]}},"label":"page"},{"id":7941,"uris":["http://zotero.org/users/11476620/items/WI2JA44T"],"itemData":{"id":7941,"type":"article-journal","container-title":"PLOS ONE","DOI":"10.1371/journal.pone.0168176","ISSN":"1932-6203","issue":"12","journalAbbreviation":"PLoS ONE","language":"en","page":"e0168176","source":"DOI.org (Crossref)","title":"Space Use and Movement of a Neotropical Top Predator: The Endangered Jaguar","title-short":"Space Use and Movement of a Neotropical Top Predator","volume":"11","author":[{"family":"Morato","given":"Ronaldo G."},{"family":"Stabach","given":"Jared A."},{"family":"Fleming","given":"Chris H."},{"family":"Calabrese","given":"Justin M."},{"family":"De Paula","given":"Rogério C."},{"family":"Ferraz","given":"Kátia M. P. M."},{"family":"Kantek","given":"Daniel L. Z."},{"family":"Miyazaki","given":"Selma S."},{"family":"Pereira","given":"Thadeu D. C."},{"family":"Araujo","given":"Gediendson R."},{"family":"Paviolo","given":"Agustin"},{"family":"De Angelo","given":"Carlos"},{"family":"Di Bitetti","given":"Mario S."},{"family":"Cruz","given":"Paula"},{"family":"Lima","given":"Fernando"},{"family":"Cullen","given":"Laury"},{"family":"Sana","given":"Denis A."},{"family":"Ramalho","given":"Emiliano E."},{"family":"Carvalho","given":"Marina M."},{"family":"Soares","given":"Fábio H. S."},{"family":"Zimbres","given":"Barbara"},{"family":"Silva","given":"Marina X."},{"family":"Moraes","given":"Marcela D. F."},{"family":"Vogliotti","given":"Alexandre"},{"family":"May","given":"Joares A."},{"family":"Haberfeld","given":"Mario"},{"family":"Rampim","given":"Lilian"},{"family":"Sartorello","given":"Leonardo"},{"family":"Ribeiro","given":"Milton C."},{"family":"Leimgruber","given":"Peter"}],"editor":[{"family":"Stöck","given":"Matthias"}],"issued":{"date-parts":[["2016",12,28]]}},"label":"page"},{"id":8295,"uris":["http://zotero.org/users/11476620/items/CGUITE36"],"itemData":{"id":8295,"type":"article-journal","container-title":"Perspectives in Ecology and Conservation","DOI":"10.1016/j.pecon.2024.10.002","ISSN":"25300644","issue":"4","journalAbbreviation":"Perspectives in Ecology and Conservation","language":"en","page":"358-366","source":"DOI.org (Crossref)","title":"Jaguar at the Edge: movement patterns in human-altered landscapes","title-short":"Jaguar at the Edge","volume":"22","author":[{"family":"Bejarano Alegre","given":"Vanesa"},{"family":"Zukeran Kanda","given":"Claudia"},{"family":"Oshima","given":"Júlia Emi De Faria"},{"family":"Brandão Niebuhr","given":"Bernardo"},{"family":"Morato","given":"Ronaldo Gonçalves"},{"family":"Thompson","given":"Jeffrey J"},{"family":"Börger","given":"Luca"},{"family":"Ribeiro","given":"Milton Cezar"}],"issued":{"date-parts":[["2024",10]]}},"label":"page"},{"id":8296,"uris":["http://zotero.org/users/11476620/items/CU6ZMYZE"],"itemData":{"id":8296,"type":"article-journal","abstract":"Background and Research Aims:\n              Very little research has been conducted on how the transformation of natural ecosystems by human activities can affect space use by large carnivores, especially in the tropics. This study aimed to describe the spatial ecology of jaguars (\n              Panthera onca\n              ), one male and four females, in a transformed landscape in Darien, Panama.\n            \n            \n              Methods:\n              We used GPS tracking to document home range size, movement patterns, interactions, and habitat use by jaguars for the first time in Panama.\n            \n            \n              Results:\n              We found important differences in jaguars’ home range size (35 to 131 km\n              2\n              ) and overall were smaller than those reported for other areas of the region. We also find differences in the average movement speed across the day, with higher movement rates at dusk and dawn for the male jaguar, but consistent movement across the day for female jaguars, with an average speed of 4.2 kph for the male jaguar and 2.7 kph for females (ranging 2.6 to 3.0 kph across individuals). Jaguars in this transformed landscape exhibited extensive home range overlap with their conspecifics (mean = 59%, range = 8 - 98%), though they avoided occupying the same sites simultaneously. Step Selection Function analyses illustrated that jaguars select forested areas, shrubland, and secondary forests or those that are near the forest while avoiding cattle pastures.\n            \n            \n              Implications for conservation:\n              This study is the first to provide data on jaguars in areas that were once tropical rainforests, but were deforested (</w:instrText>
      </w:r>
      <w:r w:rsidR="00E21B60">
        <w:rPr>
          <w:rFonts w:ascii="Cambria Math" w:hAnsi="Cambria Math" w:cs="Cambria Math"/>
          <w:color w:val="000000" w:themeColor="text1"/>
        </w:rPr>
        <w:instrText>∼</w:instrText>
      </w:r>
      <w:r w:rsidR="00E21B60">
        <w:rPr>
          <w:rFonts w:ascii="Times New Roman" w:hAnsi="Times New Roman" w:cs="Times New Roman"/>
          <w:color w:val="000000" w:themeColor="text1"/>
        </w:rPr>
        <w:instrText xml:space="preserve">31% of total study area) for cattle pastures and crops, to show how jaguars can thrive in these landscapes despite human activities. This information is crucial to identify habitat quality requirements, and in addition to the search to minimize the conflict, and plan potential corridors, protected areas for the east region of Panama.","container-title":"Tropical Conservation Science","DOI":"10.1177/19400829251332163","ISSN":"1940-0829, 1940-0829","journalAbbreviation":"Tropical Conservation Science","language":"en","page":"19400829251332163","source":"DOI.org (Crossref)","title":"Jaguar Space Use in the Working Landscape of Darien, Panama","volume":"18","author":[{"family":"Moreno","given":"Ricardo"},{"family":"De La Torre","given":"J. Antonio"},{"family":"Ortega","given":"Josué"},{"family":"Young","given":"Natalia"},{"family":"Puertes","given":"Arturo"},{"family":"Kays","given":"Roland"}],"issued":{"date-parts":[["2025",4]]}},"label":"page"}],"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(Morato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2016, Cruz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2021, Bejarano Alegre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2024, Moreno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2025)</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their habits within insular, mangrove-dominated ecosystems have remained largely uninvestigated. Within the Amazon biome, Maracá-Jipioca Ecological Station (ESEC-MJ), a pair of insular landmasses off the Amapá coast, presents a unique environment where jaguars thrive despite spatial constraints. Despite their small size (ca. 600 km</w:t>
      </w:r>
      <w:r w:rsidRPr="00D11827">
        <w:rPr>
          <w:rFonts w:ascii="Times New Roman" w:hAnsi="Times New Roman" w:cs="Times New Roman"/>
          <w:color w:val="000000" w:themeColor="text1"/>
          <w:vertAlign w:val="superscript"/>
        </w:rPr>
        <w:t>2</w:t>
      </w:r>
      <w:r w:rsidRPr="00D11827">
        <w:rPr>
          <w:rFonts w:ascii="Times New Roman" w:hAnsi="Times New Roman" w:cs="Times New Roman"/>
          <w:color w:val="000000" w:themeColor="text1"/>
        </w:rPr>
        <w:t xml:space="preserve">), these islands offer a mosaic of habitats including mangroves, flooded grasslands, and tidal wetlands that support a high abundance of aquatic and semi-aquatic prey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{"citationID":"AkJM1VNf","properties":{"formattedCitation":"(Vergara 2011)","plainCitation":"(Vergara 2011)","noteIndex":0},"citationItems":[{"id":7985,"uris":["http://zotero.org/users/11476620/items/AVPPGRSM"],"itemData":{"id":7985,"type":"thesis","event-place":"Santa Maria, RS, Brasil","language":"Portuguese","number-of-pages":"53","publisher":"Universidade Federal de Santa Maria","publisher-place":"Santa Maria, RS, Brasil","title":"Aspectos ecolóficos da onça-pintada (Panthera onca) em uma ilha costeira na região norte do Brasil","author":[{"family":"Vergara","given":"Michelini"}],"accessed":{"date-parts":[["2025",6,25]]},"issued":{"date-parts":[["2011"]]}}}],"schema":"https://github.com/citation-style-language/schema/raw/master/csl-citation.json"} </w:instrText>
      </w:r>
      <w:r w:rsidRPr="00D11827">
        <w:rPr>
          <w:rFonts w:ascii="Times New Roman" w:hAnsi="Times New Roman" w:cs="Times New Roman"/>
          <w:color w:val="000000" w:themeColor="text1"/>
        </w:rPr>
        <w:fldChar w:fldCharType="separate"/>
      </w:r>
      <w:r w:rsidR="00E21B60">
        <w:rPr>
          <w:rFonts w:ascii="Times New Roman" w:hAnsi="Times New Roman" w:cs="Times New Roman"/>
          <w:color w:val="000000" w:themeColor="text1"/>
        </w:rPr>
        <w:t>(Vergara 2011)</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The isolation of the islands, combined with their protected status and prey availability, may create a rare natural refuge where jaguar populations persist with minimal anthropogenic interference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{"citationID":"yx2LwUuG","properties":{"formattedCitation":"(Duarte {\\i{}et al.} 2022)","plainCitation":"(Duarte et al. 2022)","noteIndex":0},"citationItems":[{"id":7943,"uris":["http://zotero.org/users/11476620/items/D43JSM2N"],"itemData":{"id":7943,"type":"article-journal","abstract":"Abstract\n            Limited space on islands usually cannot sustain stable populations of large predators. However, jaguars, the largest cat species in the Americas, unexpectedly occur in the Estação Ecológica Maracá-Jipioca reserve, a system of continental Amazonian islands in the Atlantic Ocean. We investigated jaguar population structure, density, and activity patterns. We placed 25 camera-trap stations across 149.19 km2 and used spatially explicit capture–recapture to estimate density, and Rayleigh’s test to assess activity patterns. We identified 21 individuals (12 females, six males, and three cubs) and estimated an adult density of 6.7 individuals per 100 km2, which equals a population of approximately 43 jaguars. The population is composed mostly of females (66%) in relation to males (33%). Male and female activity patterns overlapped and showed more activity during daytime. The high jaguar density and the presence of females with cubs indicate that these islands are likely natural refugia for jaguars, reinforcing the importance of this protected area for jaguar conservation and possibly challenging the paradigm that large-mammal populations are not feasible in restricted islands.","container-title":"Journal of Mammalogy","DOI":"10.1093/jmammal/gyab142","ISSN":"0022-2372, 1545-1542","issue":"2","language":"en","license":"https://academic.oup.com/journals/pages/open_access/funder_policies/chorus/standard_publication_model","page":"440-446","source":"DOI.org (Crossref)","title":"Amazon islands as predator refugia: jaguar density and temporal activity in Maracá-Jipioca","title-short":"Amazon islands as predator refugia","volume":"103","author":[{"family":"Duarte","given":"Herbert O B"},{"family":"Boron","given":"Valeria"},{"family":"Carvalho","given":"William D"},{"family":"De Toledo","given":"José Júlio"}],"editor":[{"family":"Cherry","given":"Michael"}],"issued":{"date-parts":[["2022",4,11]]}}}],"schema":"https://github.com/citation-style-language/schema/raw/master/csl-citation.json"}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(Duarte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2022)</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Previous studies in the region have documented exceptionally high jaguar densities (up to 6.7 individuals/100 km²) and unusual behaviours, including diurnal activity and foraging on marine fauna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{"citationID":"qWdhxxDV","properties":{"formattedCitation":"(Duarte {\\i{}et al.} 2022, 2023)","plainCitation":"(Duarte et al. 2022, 2023)","noteIndex":0},"citationItems":[{"id":7943,"uris":["http://zotero.org/users/11476620/items/D43JSM2N"],"itemData":{"id":7943,"type":"article-journal","abstract":"Abstract\n            Limited space on islands usually cannot sustain stable populations of large predators. However, jaguars, the largest cat species in the Americas, unexpectedly occur in the Estação Ecológica Maracá-Jipioca reserve, a system of continental Amazonian islands in the Atlantic Ocean. We investigated jaguar population structure, density, and activity patterns. We placed 25 camera-trap stations across 149.19 km2 and used spatially explicit capture–recapture to estimate density, and Rayleigh’s test to assess activity patterns. We identified 21 individuals (12 females, six males, and three cubs) and estimated an adult density of 6.7 individuals per 100 km2, which equals a population of approximately 43 jaguars. The population is composed mostly of females (66%) in relation to males (33%). Male and female activity patterns overlapped and showed more activity during daytime. The high jaguar density and the presence of females with cubs indicate that these islands are likely natural refugia for jaguars, reinforcing the importance of this protected area for jaguar conservation and possibly challenging the paradigm that large-mammal populations are not feasible in restricted islands.","container-title":"Journal of Mammalogy","DOI":"10.1093/jmammal/gyab142","ISSN":"0022-2372, 1545-1542","issue":"2","language":"en","license":"https://academic.oup.com/journals/pages/open_access/funder_policies/chorus/standard_publication_model","page":"440-446","source":"DOI.org (Crossref)","title":"Amazon islands as predator refugia: jaguar density and temporal activity in Maracá-Jipioca","title-short":"Amazon islands as predator refugia","volume":"103","author":[{"family":"Duarte","given":"Herbert O B"},{"family":"Boron","given":"Valeria"},{"family":"Carvalho","given":"William D"},{"family":"De Toledo","given":"José Júlio"}],"editor":[{"family":"Cherry","given":"Michael"}],"issued":{"date-parts":[["2022",4,11]]}},"label":"page"},{"id":7939,"uris":["http://zotero.org/users/11476620/items/DGTYCNVV"],"itemData":{"id":7939,"type":"article-journal","container-title":"Mammal Research","DOI":"10.1007/s13364-023-00681-7","ISSN":"2199-2401, 2199-241X","issue":"3","journalAbbreviation":"Mamm Res","language":"en","page":"263-271","source":"DOI.org (Crossref)","title":"Big cats like water: occupancy patterns of jaguar in a unique and insular Brazilian Amazon ecosystem","title-short":"Big cats like water","volume":"68","author":[{"family":"Duarte","given":"Herbert O. B."},{"family":"Carvalho","given":"William D."},{"family":"De Toledo","given":"José Júlio"},{"family":"Rosalino","given":"Luís Miguel"}],"issued":{"date-parts":[["2023",7]]}},"label":"page"}],"schema":"https://github.com/citation-style-language/schema/raw/master/csl-citation.json"}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(Duarte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2022, 2023)</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w:t>
      </w:r>
    </w:p>
    <w:p w14:paraId="7A6135F1" w14:textId="272F605F" w:rsidR="003D4EB1" w:rsidRPr="00D11827" w:rsidRDefault="00000000" w:rsidP="00D11827">
      <w:pPr>
        <w:spacing w:after="60" w:line="480" w:lineRule="auto"/>
        <w:ind w:firstLine="720"/>
        <w:rPr>
          <w:rFonts w:ascii="Times New Roman" w:hAnsi="Times New Roman" w:cs="Times New Roman"/>
          <w:color w:val="000000" w:themeColor="text1"/>
        </w:rPr>
      </w:pPr>
      <w:r w:rsidRPr="00D11827">
        <w:rPr>
          <w:rFonts w:ascii="Times New Roman" w:hAnsi="Times New Roman" w:cs="Times New Roman"/>
          <w:color w:val="000000" w:themeColor="text1"/>
        </w:rPr>
        <w:t xml:space="preserve">In this study, we investigated the movement patterns of jaguars inhabiting the Maracá-Jipioca islands using GPS collars deployed on seven adult individuals. Understanding movement patterns is essential for conservation planning, as it informs habitat use, territoriality, and resource exploitation strategies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{"citationID":"9NsNEtTd","properties":{"formattedCitation":"(Allen &amp; Singh 2016, Morato {\\i{}et al.} 2016)","plainCitation":"(Allen &amp; Singh 2016, Morato et al. 2016)","noteIndex":0},"citationItems":[{"id":8110,"uris":["http://zotero.org/users/11476620/items/KAZABLJX"],"itemData":{"id":8110,"type":"article-journal","container-title":"Frontiers in Ecology and Evolution","DOI":"10.3389/fevo.2015.00155","ISSN":"2296-701X","journalAbbreviation":"Front. Ecol. Evol.","source":"DOI.org (Crossref)","title":"Linking Movement Ecology with Wildlife Management and Conservation","URL":"http://journal.frontiersin.org/Article/10.3389/fevo.2015.00155/abstract","volume":"3","author":[{"family":"Allen","given":"Andrew M."},{"family":"Singh","given":"Navinder J."}],"accessed":{"date-parts":[["2025",7,7]]},"issued":{"date-parts":[["2016",1,12]]}},"label":"page"},{"id":7941,"uris":["http://zotero.org/users/11476620/items/WI2JA44T"],"itemData":{"id":7941,"type":"article-journal","container-title":"PLOS ONE","DOI":"10.1371/journal.pone.0168176","ISSN":"1932-6203","issue":"12","journalAbbreviation":"PLoS ONE","language":"en","page":"e0168176","source":"DOI.org (Crossref)","title":"Space Use and Movement of a Neotropical Top Predator: The Endangered Jaguar","title-short":"Space Use and Movement of a Neotropical Top Predator","volume":"11","author":[{"family":"Morato","given":"Ronaldo G."},{"family":"Stabach","given":"Jared A."},{"family":"Fleming","given":"Chris H."},{"family":"Calabrese","given":"Justin M."},{"family":"De Paula","given":"Rogério C."},{"family":"Ferraz","given":"Kátia M. P. M."},{"family":"Kantek","given":"Daniel L. Z."},{"family":"Miyazaki","given":"Selma S."},{"family":"Pereira","given":"Thadeu D. C."},{"family":"Araujo","given":"Gediendson R."},{"family":"Paviolo","given":"Agustin"},{"family":"De Angelo","given":"Carlos"},{"family":"Di Bitetti","given":"Mario S."},{"family":"Cruz","given":"Paula"},{"family":"Lima","given":"Fernando"},{"family":"Cullen","given":"Laury"},{"family":"Sana","given":"Denis A."},{"family":"Ramalho","given":"Emiliano E."},{"family":"Carvalho","given":"Marina M."},{"family":"Soares","given":"Fábio H. S."},{"family":"Zimbres","given":"Barbara"},{"family":"Silva","given":"Marina X."},{"family":"Moraes","given":"Marcela D. F."},{"family":"Vogliotti","given":"Alexandre"},{"family":"May","given":"Joares A."},{"family":"Haberfeld","given":"Mario"},{"family":"Rampim","given":"Lilian"},{"family":"Sartorello","given":"Leonardo"},{"family":"Ribeiro","given":"Milton C."},{"family":"Leimgruber","given":"Peter"}],"editor":[{"family":"Stöck","given":"Matthias"}],"issued":{"date-parts":[["2016",12,28]]}},"label":"page"}],"schema":"https://github.com/citation-style-language/schema/raw/master/csl-citation.json"}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(Allen &amp; Singh 2016, Morato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w:t>
      </w:r>
      <w:r w:rsidR="00E21B60" w:rsidRPr="00E21B60">
        <w:rPr>
          <w:rFonts w:ascii="Times New Roman" w:hAnsi="Times New Roman" w:cs="Times New Roman"/>
          <w:color w:val="000000"/>
          <w:lang w:val="en-US"/>
        </w:rPr>
        <w:lastRenderedPageBreak/>
        <w:t>2016)</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In spatially restricted systems like Maracá-Jipioca, movement data also reveal how large predators cope with physical and ecological constraints, including the trade-offs between prey search, territorial boundaries, and reproductive opportunities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{"citationID":"3CVr2dbl","properties":{"formattedCitation":"(Crooks 2002, Crooks {\\i{}et al.} 2011, Laurance {\\i{}et al.} 2012)","plainCitation":"(Crooks 2002, Crooks et al. 2011, Laurance et al. 2012)","noteIndex":0},"citationItems":[{"id":7945,"uris":["http://zotero.org/users/11476620/items/AKYH3EBH"],"itemData":{"id":7945,"type":"article-journal","abstract":"Abstract:\n              I examined the effects of habitat fragmentation on the distribution and abundance of mammalian carnivores in coastal southern California and tested the prediction that responses to fragmentation varied with the body size of carnivore species. I conducted track surveys for nine native and two exotic carnivore species in 29 urban habitat fragments and 10 control sites. Fragment area and isolation were the two strongest landscape descriptors of predator distribution and abundance. Six species were sensitive to fragmentation, generally disappearing as habitat patches became smaller and more isolated; three species were enhanced by fragmentation, with increased abundance in highly fragmented sites; and two species were tolerant of fragmentation, with little to no effect of landscape variables on their distribution and abundance. Within urban habitat fragments, the carnivore visitation rate increased at sites with more exotic cover and closer to the urban edge, a pattern driven largely by the increased abundance of fragmentation‐enhanced carnivores at edge sites. Finally, body size, in conjunction with other ecological characteristics, partially accounted for the heterogeneity in responses to fragmentation among carnivore species. These differential sensitivities are useful criteria for choosing appropriate focal species for ecological research and conservation planning, a choice that depends on the scale of fragmentation in a region and the commensurate responses of carnivore populations at that scale.\n            \n          , \n            \n              \n              \n                Resumen:\n                Examiné los efectos de la fragmentación del hábitat sobre la distribución y abundancia de mamíferos carnívoros en la costa del sur de California y evalué la predicción de que las respuestas a la fragmentación variaban con el tamaño corporal de carnívoros. Se realizaron muestreos de huellas para nueve especies nativas y dos exóticas en 29 fragmentos de hábitat urbano y 10 sitios control. El área fragmentada y su aislamiento fueron los dos principales descriptores de la distribución y abundancia de depredadores. Seis especies fueron sensibles a la fragmentación, generalmente las especies desaparecían conforme los fragmentos eran más pequeños y aislados, tres especies fueron favorecidas por la fragmentación, con incremento en su abundancia en sitios altamente fragmentados, y dos especies fueron tolerantes a la fragmentación con poco o ningún efecto de las variables del paisaje sobre su distribución y abundancia. Dentro de los fragmentos de hábitat urbano, las tasas de presencia de carnívoros incrementaron en sitios con mayor cobertura exótica y cercanos al borde urbano, un patrón dirigido principalmente por el incremento en la abundancia de carnívoros favorecidos por la fragmentación en el borde de los sitios. Finalmente, el tamaño corporal, conjuntamente con otras características ecológicas, fueron parcialmente responsables de la heterogeneidad en respuestas a la fragmentación entre especies de carnívoros. Estas sensibilidades diferenciales son un criterio útil para seleccionar especies focales apropiadas para investigaciones ecológicas y la planeación de la conservación, una selección que depende de la escala de fragmentación en una región y de las respuestas apropiadas de las poblaciones de carnívoros a esa escala.","container-title":"Conservation Biology","DOI":"10.1046/j.1523-1739.2002.00386.x","ISSN":"0888-8892, 1523-1739","issue":"2","journalAbbreviation":"Conservation Biology","language":"en","page":"488-502","source":"DOI.org (Crossref)","title":"Relative Sensitivities of Mammalian Carnivores to Habitat Fragmentation","volume":"16","author":[{"family":"Crooks","given":"Kevin R."}],"issued":{"date-parts":[["2002",4]]}},"label":"page"},{"id":7946,"uris":["http://zotero.org/users/11476620/items/GT8PQ7Y3"],"itemData":{"id":7946,"type":"article-journal","abstract":"Although mammalian carnivores are vulnerable to habitat fragmentation and require landscape connectivity, their global patterns of fragmentation and connectivity have not been examined. We use recently developed high-resolution habitat suitability models to conduct comparative analyses and to identify global hotspots of fragmentation and connectivity for the world's terrestrial carnivores. Species with less fragmentation (i.e. more interior high-quality habitat) had larger geographical ranges, a greater proportion of habitat within their range, greater habitat connectivity and a lower risk of extinction. Species with higher connectivity (i.e. less habitat isolation) also had a greater proportion of high-quality habitat, but had smaller, not larger, ranges, probably reflecting shorter distances between habitat patches for species with restricted distributions; such species were also more threatened, as would be expected given the negative relationship between range size and extinction risk. Fragmentation and connectivity did not differ among Carnivora families, and body mass was associated with connectivity but not fragmentation. On average, only 54.3 per cent of a species' geographical range comprised high-quality habitat, and more troubling, only 5.2 per cent of the range comprised such habitat within protected areas. Identification of global hotspots of fragmentation and connectivity will help guide strategic priorities for carnivore conservation.","container-title":"Philosophical Transactions of the Royal Society B: Biological Sciences","DOI":"10.1098/rstb.2011.0120","ISSN":"0962-8436, 1471-2970","issue":"1578","journalAbbreviation":"Phil. Trans. R. Soc. B","language":"en","page":"2642-2651","source":"DOI.org (Crossref)","title":"Global patterns of fragmentation and connectivity of mammalian carnivore habitat","volume":"366","author":[{"family":"Crooks","given":"Kevin R."},{"family":"Burdett","given":"Christopher L."},{"family":"Theobald","given":"David M."},{"family":"Rondinini","given":"Carlo"},{"family":"Boitani","given":"Luigi"}],"issued":{"date-parts":[["2011",9,27]]}},"label":"page"},{"id":7944,"uris":["http://zotero.org/users/11476620/items/QWYQCA6B"],"itemData":{"id":7944,"type":"article-journal","container-title":"Nature","DOI":"10.1038/nature11318","ISSN":"0028-0836, 1476-4687","issue":"7415","journalAbbreviation":"Nature","language":"en","license":"http://www.springer.com/tdm","page":"290-294","source":"DOI.org (Crossref)","title":"Averting biodiversity collapse in tropical forest protected areas","volume":"489","author":[{"family":"Laurance","given":"William F."},{"family":"Carolina Useche","given":"D."},{"family":"Rendeiro","given":"Julio"},{"family":"Kalka","given":"Margareta"},{"family":"Bradshaw","given":"Corey J. A."},{"family":"Sloan","given":"Sean P."},{"family":"Laurance","given":"Susan G."},{"family":"Campbell","given":"Mason"},{"family":"Abernethy","given":"Kate"},{"family":"Alvarez","given":"Patricia"},{"family":"Arroyo-Rodriguez","given":"Victor"},{"family":"Ashton","given":"Peter"},{"family":"Benítez-Malvido","given":"Julieta"},{"family":"Blom","given":"Allard"},{"family":"Bobo","given":"Kadiri S."},{"family":"Cannon","given":"Charles H."},{"family":"Cao","given":"Min"},{"family":"Carroll","given":"Richard"},{"family":"Chapman","given":"Colin"},{"family":"Coates","given":"Rosamond"},{"family":"Cords","given":"Marina"},{"family":"Danielsen","given":"Finn"},{"family":"De Dijn","given":"Bart"},{"family":"Dinerstein","given":"Eric"},{"family":"Donnelly","given":"Maureen A."},{"family":"Edwards","given":"David"},{"family":"Edwards","given":"Felicity"},{"family":"Farwig","given":"Nina"},{"family":"Fashing","given":"Peter"},{"family":"Forget","given":"Pierre-Michel"},{"family":"Foster","given":"Mercedes"},{"family":"Gale","given":"George"},{"family":"Harris","given":"David"},{"family":"Harrison","given":"Rhett"},{"family":"Hart","given":"John"},{"family":"Karpanty","given":"Sarah"},{"family":"John Kress","given":"W."},{"family":"Krishnaswamy","given":"Jagdish"},{"family":"Logsdon","given":"Willis"},{"family":"Lovett","given":"Jon"},{"family":"Magnusson","given":"William"},{"family":"Maisels","given":"Fiona"},{"family":"Marshall","given":"Andrew R."},{"family":"McClearn","given":"Deedra"},{"family":"Mudappa","given":"Divya"},{"family":"Nielsen","given":"Martin R."},{"family":"Pearson","given":"Richard"},{"family":"Pitman","given":"Nigel"},{"family":"Van Der Ploeg","given":"Jan"},{"family":"Plumptre","given":"Andrew"},{"family":"Poulsen","given":"John"},{"family":"Quesada","given":"Mauricio"},{"family":"Rainey","given":"Hugo"},{"family":"Robinson","given":"Douglas"},{"family":"Roetgers","given":"Christiane"},{"family":"Rovero","given":"Francesco"},{"family":"Scatena","given":"Frederick"},{"family":"Schulze","given":"Christian"},{"family":"Sheil","given":"Douglas"},{"family":"Struhsaker","given":"Thomas"},{"family":"Terborgh","given":"John"},{"family":"Thomas","given":"Duncan"},{"family":"Timm","given":"Robert"},{"family":"Nicolas Urbina-Cardona","given":"J."},{"family":"Vasudevan","given":"Karthikeyan"},{"family":"Joseph Wright","given":"S."},{"family":"Carlos Arias-G.","given":"Juan"},{"family":"Arroyo","given":"Luzmila"},{"family":"Ashton","given":"Mark"},{"family":"Auzel","given":"Philippe"},{"family":"Babaasa","given":"Dennis"},{"family":"Babweteera","given":"Fred"},{"family":"Baker","given":"Patrick"},{"family":"Banki","given":"Olaf"},{"family":"Bass","given":"Margot"},{"family":"Bila-Isia","given":"Inogwabini"},{"family":"Blake","given":"Stephen"},{"family":"Brockelman","given":"Warren"},{"family":"Brokaw","given":"Nicholas"},{"family":"Brühl","given":"Carsten A."},{"family":"Bunyavejchewin","given":"Sarayudh"},{"family":"Chao","given":"Jung-Tai"},{"family":"Chave","given":"Jerome"},{"family":"Chellam","given":"Ravi"},{"family":"Clark","given":"Connie J."},{"family":"Clavijo","given":"José"},{"family":"Congdon","given":"Robert"},{"family":"Corlett","given":"Richard"},{"family":"Dattaraja","given":"H. S."},{"family":"Dave","given":"Chittaranjan"},{"family":"Davies","given":"Glyn"},{"family":"De Mello Beisiegel","given":"Beatriz"},{"family":"De Nazaré Paes Da Silva","given":"Rosa"},{"family":"Di Fiore","given":"Anthony"},{"family":"Diesmos","given":"Arvin"},{"family":"Dirzo","given":"Rodolfo"},{"family":"Doran-Sheehy","given":"Diane"},{"family":"Eaton","given":"Mitchell"},{"family":"Emmons","given":"Louise"},{"family":"Estrada","given":"Alejandro"},{"family":"Ewango","given":"Corneille"},{"family":"Fedigan","given":"Linda"},{"family":"Feer","given":"François"},{"family":"Fruth","given":"Barbara"},{"family":"Giacalone Willis","given":"Jacalyn"},{"family":"Goodale","given":"Uromi"},{"family":"Goodman","given":"Steven"},{"family":"Guix","given":"Juan C."},{"family":"Guthiga","given":"Paul"},{"family":"Haber","given":"William"},{"family":"Hamer","given":"Keith"},{"family":"Herbinger","given":"Ilka"},{"family":"Hill","given":"Jane"},{"family":"Huang","given":"Zhongliang"},{"family":"Fang Sun","given":"I"},{"family":"Ickes","given":"Kalan"},{"family":"Itoh","given":"Akira"},{"family":"Ivanauskas","given":"Natália"},{"family":"Jackes","given":"Betsy"},{"family":"Janovec","given":"John"},{"family":"Janzen","given":"Daniel"},{"family":"Jiangming","given":"Mo"},{"family":"Jin","given":"Chen"},{"family":"Jones","given":"Trevor"},{"family":"Justiniano","given":"Hermes"},{"family":"Kalko","given":"Elisabeth"},{"family":"Kasangaki","given":"Aventino"},{"family":"Killeen","given":"Timothy"},{"family":"King","given":"Hen-biau"},{"family":"Klop","given":"Erik"},{"family":"Knott","given":"Cheryl"},{"family":"Koné","given":"Inza"},{"family":"Kudavidanage","given":"Enoka"},{"family":"Lahoz Da Silva Ribeiro","given":"José"},{"family":"Lattke","given":"John"},{"family":"Laval","given":"Richard"},{"family":"Lawton","given":"Robert"},{"family":"Leal","given":"Miguel"},{"family":"Leighton","given":"Mark"},{"family":"Lentino","given":"Miguel"},{"family":"Leonel","given":"Cristiane"},{"family":"Lindsell","given":"Jeremy"},{"family":"Ling-Ling","given":"Lee"},{"family":"Eduard Linsenmair","given":"K."},{"family":"Losos","given":"Elizabeth"},{"family":"Lugo","given":"Ariel"},{"family":"Lwanga","given":"Jeremiah"},{"family":"Mack","given":"Andrew L."},{"family":"Martins","given":"Marlucia"},{"family":"Scott McGraw","given":"W."},{"family":"McNab","given":"Roan"},{"family":"Montag","given":"Luciano"},{"family":"Myers Thompson","given":"Jo"},{"family":"Nabe-Nielsen","given":"Jacob"},{"family":"Nakagawa","given":"Michiko"},{"family":"Nepal","given":"Sanjay"},{"family":"Norconk","given":"Marilyn"},{"family":"Novotny","given":"Vojtech"},{"family":"O'Donnell","given":"Sean"},{"family":"Opiang","given":"Muse"},{"family":"Ouboter","given":"Paul"},{"family":"Parker","given":"Kenneth"},{"family":"Parthasarathy","given":"N."},{"family":"Pisciotta","given":"Kátia"},{"family":"Prawiradilaga","given":"Dewi"},{"family":"Pringle","given":"Catherine"},{"family":"Rajathurai","given":"Subaraj"},{"family":"Reichard","given":"Ulrich"},{"family":"Reinartz","given":"Gay"},{"family":"Renton","given":"Katherine"},{"family":"Reynolds","given":"Glen"},{"family":"Reynolds","given":"Vernon"},{"family":"Riley","given":"Erin"},{"family":"Rödel","given":"Mark-Oliver"},{"family":"Rothman","given":"Jessica"},{"family":"Round","given":"Philip"},{"family":"Sakai","given":"Shoko"},{"family":"Sanaiotti","given":"Tania"},{"family":"Savini","given":"Tommaso"},{"family":"Schaab","given":"Gertrud"},{"family":"Seidensticker","given":"John"},{"family":"Siaka","given":"Alhaji"},{"family":"Silman","given":"Miles R."},{"family":"Smith","given":"Thomas B."},{"family":"De Almeida","given":"Samuel Soares"},{"family":"Sodhi","given":"Navjot"},{"family":"Stanford","given":"Craig"},{"family":"Stewart","given":"Kristine"},{"family":"Stokes","given":"Emma"},{"family":"Stoner","given":"Kathryn E."},{"family":"Sukumar","given":"Raman"},{"family":"Surbeck","given":"Martin"},{"family":"Tobler","given":"Mathias"},{"family":"Tscharntke","given":"Teja"},{"family":"Turkalo","given":"Andrea"},{"family":"Umapathy","given":"Govindaswamy"},{"family":"Van Weerd","given":"Merlijn"},{"family":"Vega Rivera","given":"Jorge"},{"family":"Venkataraman","given":"Meena"},{"family":"Venn","given":"Linda"},{"family":"Verea","given":"Carlos"},{"family":"Volkmer De Castilho","given":"Carolina"},{"family":"Waltert","given":"Matthias"},{"family":"Wang","given":"Benjamin"},{"family":"Watts","given":"David"},{"family":"Weber","given":"William"},{"family":"West","given":"Paige"},{"family":"Whitacre","given":"David"},{"family":"Whitney","given":"Ken"},{"family":"Wilkie","given":"David"},{"family":"Williams","given":"Stephen"},{"family":"Wright","given":"Debra D."},{"family":"Wright","given":"Patricia"},{"family":"Xiankai","given":"Lu"},{"family":"Yonzon","given":"Pralad"},{"family":"Zamzani","given":"Franky"}],"issued":{"date-parts":[["2012",9]]}},"label":"page"}],"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(Crooks 2002, Crooks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2011, Laurance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2012)</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Such information is critical for evaluating the long-term viability of island populations and the ecological processes they maintain. Building on previous research documenting this population’s high density and unique dietary habits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{"citationID":"4uXt0ZWP","properties":{"formattedCitation":"(Vergara 2011, Duarte {\\i{}et al.} 2023)","plainCitation":"(Vergara 2011, Duarte et al. 2023)","noteIndex":0},"citationItems":[{"id":7939,"uris":["http://zotero.org/users/11476620/items/DGTYCNVV"],"itemData":{"id":7939,"type":"article-journal","container-title":"Mammal Research","DOI":"10.1007/s13364-023-00681-7","ISSN":"2199-2401, 2199-241X","issue":"3","journalAbbreviation":"Mamm Res","language":"en","page":"263-271","source":"DOI.org (Crossref)","title":"Big cats like water: occupancy patterns of jaguar in a unique and insular Brazilian Amazon ecosystem","title-short":"Big cats like water","volume":"68","author":[{"family":"Duarte","given":"Herbert O. B."},{"family":"Carvalho","given":"William D."},{"family":"De Toledo","given":"José Júlio"},{"family":"Rosalino","given":"Luís Miguel"}],"issued":{"date-parts":[["2023",7]]}},"label":"page"},{"id":7985,"uris":["http://zotero.org/users/11476620/items/AVPPGRSM"],"itemData":{"id":7985,"type":"thesis","event-place":"Santa Maria, RS, Brasil","language":"Portuguese","number-of-pages":"53","publisher":"Universidade Federal de Santa Maria","publisher-place":"Santa Maria, RS, Brasil","title":"Aspectos ecolóficos da onça-pintada (Panthera onca) em uma ilha costeira na região norte do Brasil","author":[{"family":"Vergara","given":"Michelini"}],"accessed":{"date-parts":[["2025",6,25]]},"issued":{"date-parts":[["2011"]]}},"label":"page"}],"schema":"https://github.com/citation-style-language/schema/raw/master/csl-citation.json"}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(Vergara 2011, Duarte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2023)</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we sought to understand how these large predators navigate a spatially constrained and hydrologically dynamic environment. Specifically, we estimated these individuals’ home-range areas, movement rates, and their circadian rhythms. Given that aquatic prey bases have been previously shown to impact their social behaviour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{"citationID":"sYjncFk5","properties":{"formattedCitation":"(Eriksson {\\i{}et al.} 2022)","plainCitation":"(Eriksson et al. 2022)","noteIndex":0},"citationItems":[{"id":7973,"uris":["http://zotero.org/users/11476620/items/ITEUCV7T"],"itemData":{"id":7973,"type":"article-journal","abstract":"Abstract\n            \n              Energetic subsidies between terrestrial and aquatic ecosystems can strongly influence food webs and population dynamics. Our objective was to study how aquatic subsidies affected jaguar (\n              Panthera onca\n              ) diet, sociality, and population density in a seasonally flooded protected area in the Brazilian Pantanal. The diet (\n              n\n               = 138 scats) was dominated by fish (46%) and aquatic reptiles (55%), representing the first jaguar population known to feed extensively on fish and to minimally consume mammals (11%). These aquatic subsidies supported the highest jaguar population density estimate to date (12.4 jaguars/100 km²) derived from camera traps (8,065 trap nights) and GPS collars (\n              n\n               = 13). Contrary to their mostly solitary behavior elsewhere, we documented social interactions previously unobserved between same‐sex adults including cooperative fishing, co‐traveling, and play. Our study demonstrates that aquatic subsidies, frequently described in omnivores, can also transform the ecology and behavior of obligate carnivores.","container-title":"Ecology","DOI":"10.1002/ecy.3543","ISSN":"0012-9658, 1939-9170","issue":"1","journalAbbreviation":"Ecology","language":"en","page":"e03543","source":"DOI.org (Crossref)","title":"Extensive aquatic subsidies lead to territorial breakdown and high density of an apex predator","volume":"103","author":[{"family":"Eriksson","given":"Charlotte E."},{"family":"Kantek","given":"Daniel L. Z."},{"family":"Miyazaki","given":"Selma S."},{"family":"Morato","given":"Ronaldo G."},{"family":"Dos Santos‐Filho","given":"Manoel"},{"family":"Ruprecht","given":"Joel S."},{"family":"Peres","given":"Carlos A."},{"family":"Levi","given":"Taal"}],"issued":{"date-parts":[["2022",1]]}}}],"schema":"https://github.com/citation-style-language/schema/raw/master/csl-citation.json"}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(Eriksson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2022)</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we also investigated patterns of home-range overlap and their encounter rates, with attention to potential differences between sexes. Lastly, we analysed their habitat preferences, and the extent to which these were impacted by the tidal nature of this island ecosystem. By characterising their movement ecology, this study provides key insights into how jaguars persist in isolated islands and offers critical information to guide conservation and management strategies within this protected Amazonian refuge.</w:t>
      </w:r>
    </w:p>
    <w:p w14:paraId="7E5F46C6" w14:textId="77777777" w:rsidR="003D4EB1" w:rsidRPr="00D11827" w:rsidRDefault="003D4EB1" w:rsidP="00D11827">
      <w:pPr>
        <w:spacing w:after="60" w:line="480" w:lineRule="auto"/>
        <w:rPr>
          <w:rFonts w:ascii="Times New Roman" w:hAnsi="Times New Roman" w:cs="Times New Roman"/>
          <w:color w:val="000000" w:themeColor="text1"/>
        </w:rPr>
      </w:pPr>
    </w:p>
    <w:p w14:paraId="282B0D3F" w14:textId="0787E947" w:rsidR="003D4EB1" w:rsidRPr="00D11827" w:rsidRDefault="00EB0E99" w:rsidP="00EB0E99">
      <w:pPr>
        <w:pStyle w:val="Heading1"/>
        <w:numPr>
          <w:ilvl w:val="0"/>
          <w:numId w:val="1"/>
        </w:numPr>
        <w:rPr>
          <w:rFonts w:ascii="Times New Roman" w:hAnsi="Times New Roman" w:cs="Times New Roman"/>
          <w:color w:val="000000" w:themeColor="text1"/>
          <w:sz w:val="24"/>
          <w:szCs w:val="24"/>
        </w:rPr>
      </w:pPr>
      <w:bookmarkStart w:id="2" w:name="_gmr5firukb5h" w:colFirst="0" w:colLast="0"/>
      <w:bookmarkEnd w:id="2"/>
      <w:r w:rsidRPr="00D11827">
        <w:rPr>
          <w:rFonts w:ascii="Times New Roman" w:hAnsi="Times New Roman" w:cs="Times New Roman"/>
          <w:color w:val="000000" w:themeColor="text1"/>
          <w:sz w:val="24"/>
          <w:szCs w:val="24"/>
        </w:rPr>
        <w:t>MATERIALS AND METHODS</w:t>
      </w:r>
    </w:p>
    <w:p w14:paraId="16A7F258" w14:textId="53C3515A" w:rsidR="003D4EB1" w:rsidRPr="00D11827" w:rsidRDefault="00EB0E99" w:rsidP="00D11827">
      <w:pPr>
        <w:pStyle w:val="Heading2"/>
        <w:spacing w:line="480" w:lineRule="auto"/>
        <w:rPr>
          <w:rFonts w:ascii="Times New Roman" w:hAnsi="Times New Roman" w:cs="Times New Roman"/>
          <w:color w:val="000000" w:themeColor="text1"/>
          <w:sz w:val="24"/>
          <w:szCs w:val="24"/>
        </w:rPr>
      </w:pPr>
      <w:bookmarkStart w:id="3" w:name="_lqbgpklnb534" w:colFirst="0" w:colLast="0"/>
      <w:bookmarkEnd w:id="3"/>
      <w:r>
        <w:rPr>
          <w:rFonts w:ascii="Times New Roman" w:hAnsi="Times New Roman" w:cs="Times New Roman"/>
          <w:color w:val="000000" w:themeColor="text1"/>
          <w:sz w:val="24"/>
          <w:szCs w:val="24"/>
        </w:rPr>
        <w:t xml:space="preserve">2.1 </w:t>
      </w:r>
      <w:r w:rsidRPr="00D11827">
        <w:rPr>
          <w:rFonts w:ascii="Times New Roman" w:hAnsi="Times New Roman" w:cs="Times New Roman"/>
          <w:color w:val="000000" w:themeColor="text1"/>
          <w:sz w:val="24"/>
          <w:szCs w:val="24"/>
        </w:rPr>
        <w:t>Sampling area</w:t>
      </w:r>
    </w:p>
    <w:p w14:paraId="4408E63F" w14:textId="22392F90" w:rsidR="003D4EB1" w:rsidRPr="00D11827" w:rsidRDefault="00000000" w:rsidP="00D11827">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Jaguar movement data were collected from animals on Maracá-Jipioca Ecological Station (ESEC-MJ), a federal protected area located off the coast of Amapá State in the northeastern Brazilian Amazon (02°01′13″N, 50°30′20″W). The protected area spans approximately 600 km</w:t>
      </w:r>
      <w:r w:rsidRPr="00D11827">
        <w:rPr>
          <w:rFonts w:ascii="Times New Roman" w:hAnsi="Times New Roman" w:cs="Times New Roman"/>
          <w:color w:val="000000" w:themeColor="text1"/>
          <w:vertAlign w:val="superscript"/>
        </w:rPr>
        <w:t>2</w:t>
      </w:r>
      <w:r w:rsidRPr="00D11827">
        <w:rPr>
          <w:rFonts w:ascii="Times New Roman" w:hAnsi="Times New Roman" w:cs="Times New Roman"/>
          <w:color w:val="000000" w:themeColor="text1"/>
        </w:rPr>
        <w:t xml:space="preserve">, comprising two main continental-origin islands: Maracá and Jipioca, separated from the mainland by estuarine channels approximately 6–10 km wide. The islands were formed by erosional and sedimentary processes over the past 10,000 years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{"citationID":"6ZKSLmNo","properties":{"formattedCitation":"(Allison {\\i{}et al.} 1995, Nittrouer {\\i{}et al.} 1995)","plainCitation":"(Allison et al. 1995, Nittrouer et al. 1995)","noteIndex":0},"citationItems":[{"id":7980,"uris":["http://zotero.org/users/11476620/items/47TPLGW2"],"itemData":{"id":7980,"type":"article-journal","abstract":"Field surveys of the 350-km shoreline adjacent to the Amazon river mouth reveal three distinct types: erosional mud, accretionary sand, and accretionary mud. Formation of these zones is controlled by the delivery of Amazon suspended sediment, mediated by the hydrodynamic regime. Erosional mud shorelines extend from Rio Araguari (near the Amazon river mouth) northwestward 280 km to 3.5 °N (near Cabo Cassipore). Shoreface (&lt;5 m water depth) retreat annually yields 1–4 × 106 tons of fine-grained sediment deposited during an earlier phase of shoreface progradation. Sandbodies up to 5 m thick overlie erosional mud shorefaces for 10–30 km downdrift of small rivers. The sand is supplied from these rivers and released by shoreline retreat of the river-mouth areas. Amazon River sand is restricted in the coastal zone from its mouth north to the Cabo Norte shoal area, where it mixes with sand carried by Rio Araguari from the Guiana Highlands. North of 3.5 °N, mud aggradation and progradation is taking place on underconsolidated, low-gradient tidal flats backed by mangrove swamps. 210Pb and 14C geochronology of vibracores from the mudflats indicate that sediment accumulation is rapid (0.24–2.0 cm/yr) landward of the 2-m isobath, supplied from a thick (50–150 cm) seasonal surface layer. Shoreface progradation is episodic, separated by decadal hiatuses. Fine-grained suspended-sediment flux from the Amazon and minor amounts of sand and mud from the local rivers supply sediment to the mudflats. Shore-normal tidal currents and solitary waves rework the surface mud layer, preferentially transporting available sand landward into the mangrove fringe, and producing very fine-grained accumulation on the tidal flat (10–12 φ mean grain size). Lateral accretion of features 10–100 km long, termed mudcapes, produces tens of kilometers of seaward coastal-plain addition along the northern coast. Similar features are identified downdrift along the Guianas coast as far as the Orinoco River (1600 km). The northern Amapa shoreface deposits are a locus of modern sediment accumulation, which progrades over subaqueous deltaic strata.","collection-title":"Geological Significance of Sediment Transport and Accumulation on the Amazon Continental Shelf","container-title":"Marine Geology","DOI":"10.1016/0025-3227(95)00020-Y","ISSN":"0025-3227","issue":"3","journalAbbreviation":"Marine Geology","page":"373-392","source":"ScienceDirect","title":"Rates and mechanisms of shoreface progradation and retreat downdrift of the Amazon river mouth","volume":"125","author":[{"family":"Allison","given":"M. A."},{"family":"Nittrouer","given":"C. A."},{"family":"Faria","given":"L. E. C."}],"issued":{"date-parts":[["1995",7,1]]}},"label":"page"},{"id":7984,"uris":["http://zotero.org/users/11476620/items/EVG5XIX8"],"itemData":{"id":7984,"type":"article-journal","container-title":"Marine Geology","DOI":"10.1016/0025-3227(95)00075-A","ISSN":"00253227","issue":"3-4","journalAbbreviation":"Marine Geology","language":"en","license":"https://www.elsevier.com/tdm/userlicense/1.0/","page":"177-192","source":"DOI.org (Crossref)","title":"An introduction to the geological significance of sediment transport and accumulation on the Amazon continental shelf","volume":"125","author":[{"family":"Nittrouer","given":"Charles A."},{"family":"Kuehl","given":"Steven A."},{"family":"Sternberg","given":"Richard W."},{"family":"Figueiredo","given":"Alberto G."},{"family":"Faria","given":"Luis E.C."}],"issued":{"date-parts":[["1995",7]]}},"label":"page"}],"schema":"https://github.com/citation-style-language/schema/raw/master/csl-citation.json"}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(Allison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1995, Nittrouer </w:t>
      </w:r>
      <w:r w:rsidR="00E21B60" w:rsidRPr="00E21B60">
        <w:rPr>
          <w:rFonts w:ascii="Times New Roman" w:hAnsi="Times New Roman" w:cs="Times New Roman"/>
          <w:i/>
          <w:iCs/>
          <w:color w:val="000000"/>
          <w:lang w:val="en-US"/>
        </w:rPr>
        <w:lastRenderedPageBreak/>
        <w:t>et al.</w:t>
      </w:r>
      <w:r w:rsidR="00E21B60" w:rsidRPr="00E21B60">
        <w:rPr>
          <w:rFonts w:ascii="Times New Roman" w:hAnsi="Times New Roman" w:cs="Times New Roman"/>
          <w:color w:val="000000"/>
          <w:lang w:val="en-US"/>
        </w:rPr>
        <w:t xml:space="preserve"> 1995)</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and are strongly influenced by the dynamics of the Amazon River delta and the Atlantic tide, which produces daily flooding across low-lying areas.</w:t>
      </w:r>
    </w:p>
    <w:p w14:paraId="2475D548" w14:textId="77777777" w:rsidR="003D4EB1" w:rsidRPr="00D11827" w:rsidRDefault="00000000" w:rsidP="00D11827">
      <w:pPr>
        <w:spacing w:after="60" w:line="480" w:lineRule="auto"/>
        <w:ind w:firstLine="720"/>
        <w:rPr>
          <w:rFonts w:ascii="Times New Roman" w:hAnsi="Times New Roman" w:cs="Times New Roman"/>
          <w:color w:val="000000" w:themeColor="text1"/>
        </w:rPr>
      </w:pPr>
      <w:r w:rsidRPr="00D11827">
        <w:rPr>
          <w:rFonts w:ascii="Times New Roman" w:hAnsi="Times New Roman" w:cs="Times New Roman"/>
          <w:color w:val="000000" w:themeColor="text1"/>
        </w:rPr>
        <w:t>ESEC-MJ lies within the humid tropical zone and experiences a tropical monsoon climate (Am, Köppen classification), with annual rainfall ranging from 2,300 to 2,800 mm and average temperatures between 25–27°C. The region has minimal elevational variation, with a mean altitude of approximately 3 meters above sea level, making it highly susceptible to tidal and seasonal flooding. The landscape consists of a mosaic of interconnected wetlands, including mangroves (Rhizophora and Avicennia), flooded grasslands (dominated by Juncus spp.), freshwater lagoons, estuarine channels, bamboo thickets (Guadua spp.), and patches of coastal scrub and low forest. According to the 2023 MapBiomas land classification maps (</w:t>
      </w:r>
      <w:hyperlink r:id="rId9">
        <w:r w:rsidR="003D4EB1" w:rsidRPr="00D11827">
          <w:rPr>
            <w:rFonts w:ascii="Times New Roman" w:hAnsi="Times New Roman" w:cs="Times New Roman"/>
            <w:color w:val="000000" w:themeColor="text1"/>
            <w:u w:val="single"/>
          </w:rPr>
          <w:t>http://mapbiomas.org</w:t>
        </w:r>
      </w:hyperlink>
      <w:r w:rsidRPr="00D11827">
        <w:rPr>
          <w:rFonts w:ascii="Times New Roman" w:hAnsi="Times New Roman" w:cs="Times New Roman"/>
          <w:color w:val="000000" w:themeColor="text1"/>
        </w:rPr>
        <w:t>), Maracá and Jipioca islands are composed primarily of ca. 26.5% forest, 18.8% mangrove, 50% water and wetland, and 4.6% grassland. We note that jaguars were monitored during two distinct periods (2019-2020, and 2023-2024; see details below), whereas land classification data from 2023 were used in all analyses. While many of Brazil’s natural areas have been experiencing elevated levels of anthropogenic pressure in recent years, Maracá and Jipioca islands are federally protected, there was minimal change in land cover during the time of the monitoring period.</w:t>
      </w:r>
    </w:p>
    <w:p w14:paraId="5783EF31" w14:textId="77777777" w:rsidR="003D4EB1" w:rsidRPr="00D11827" w:rsidRDefault="00000000" w:rsidP="00D11827">
      <w:pPr>
        <w:spacing w:after="60" w:line="480" w:lineRule="auto"/>
        <w:ind w:firstLine="720"/>
        <w:rPr>
          <w:rFonts w:ascii="Times New Roman" w:hAnsi="Times New Roman" w:cs="Times New Roman"/>
          <w:color w:val="000000" w:themeColor="text1"/>
        </w:rPr>
      </w:pPr>
      <w:r w:rsidRPr="00D11827">
        <w:rPr>
          <w:rFonts w:ascii="Times New Roman" w:hAnsi="Times New Roman" w:cs="Times New Roman"/>
          <w:color w:val="000000" w:themeColor="text1"/>
        </w:rPr>
        <w:t>This unique habitat configuration supports a high biomass of aquatic and semi-aquatic prey, including fish, turtles, birds, and caimans, which jaguars regularly exploit. Human presence on the islands is minimal due to the station’s protected status, with no permanent settlements, roads, or agriculture, making it one of the few undisturbed coastal island systems harbouring a viable large carnivore population in the Amazon.</w:t>
      </w:r>
    </w:p>
    <w:p w14:paraId="7B7C01F0" w14:textId="77777777" w:rsidR="003D4EB1" w:rsidRPr="00D11827" w:rsidRDefault="003D4EB1" w:rsidP="00D11827">
      <w:pPr>
        <w:spacing w:after="60" w:line="480" w:lineRule="auto"/>
        <w:rPr>
          <w:rFonts w:ascii="Times New Roman" w:hAnsi="Times New Roman" w:cs="Times New Roman"/>
          <w:color w:val="000000" w:themeColor="text1"/>
        </w:rPr>
      </w:pPr>
    </w:p>
    <w:p w14:paraId="5F635DE7" w14:textId="28AC54AC" w:rsidR="003D4EB1" w:rsidRPr="00D11827" w:rsidRDefault="00EB0E99" w:rsidP="00D11827">
      <w:pPr>
        <w:pStyle w:val="Heading2"/>
        <w:spacing w:line="480" w:lineRule="auto"/>
        <w:rPr>
          <w:rFonts w:ascii="Times New Roman" w:hAnsi="Times New Roman" w:cs="Times New Roman"/>
          <w:color w:val="000000" w:themeColor="text1"/>
          <w:sz w:val="24"/>
          <w:szCs w:val="24"/>
        </w:rPr>
      </w:pPr>
      <w:bookmarkStart w:id="4" w:name="_66ntcneu1l2m" w:colFirst="0" w:colLast="0"/>
      <w:bookmarkEnd w:id="4"/>
      <w:r>
        <w:rPr>
          <w:rFonts w:ascii="Times New Roman" w:hAnsi="Times New Roman" w:cs="Times New Roman"/>
          <w:color w:val="000000" w:themeColor="text1"/>
          <w:sz w:val="24"/>
          <w:szCs w:val="24"/>
        </w:rPr>
        <w:lastRenderedPageBreak/>
        <w:t xml:space="preserve">2.2 </w:t>
      </w:r>
      <w:r w:rsidRPr="00D11827">
        <w:rPr>
          <w:rFonts w:ascii="Times New Roman" w:hAnsi="Times New Roman" w:cs="Times New Roman"/>
          <w:color w:val="000000" w:themeColor="text1"/>
          <w:sz w:val="24"/>
          <w:szCs w:val="24"/>
        </w:rPr>
        <w:t>Animals capture and GPS data acquisition</w:t>
      </w:r>
    </w:p>
    <w:p w14:paraId="02166194" w14:textId="6CA7D866" w:rsidR="003D4EB1" w:rsidRPr="00D11827" w:rsidRDefault="00000000" w:rsidP="00D11827">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 xml:space="preserve">Between 2019-10-04 until 2025-01-24, seven jaguars were captured using either box traps, foot snares, or trained hounds. Captures via box traps employed wooden box traps (90 × 90 × 200 cm) with metal doors that were baited with fresh fish. Traps were strategically placed in shaded areas along the western edge of the island in locations with documented prior jaguar activity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{"citationID":"iUhpD87L","properties":{"formattedCitation":"(Vergara 2011, Duarte {\\i{}et al.} 2023)","plainCitation":"(Vergara 2011, Duarte et al. 2023)","noteIndex":0},"citationItems":[{"id":7939,"uris":["http://zotero.org/users/11476620/items/DGTYCNVV"],"itemData":{"id":7939,"type":"article-journal","container-title":"Mammal Research","DOI":"10.1007/s13364-023-00681-7","ISSN":"2199-2401, 2199-241X","issue":"3","journalAbbreviation":"Mamm Res","language":"en","page":"263-271","source":"DOI.org (Crossref)","title":"Big cats like water: occupancy patterns of jaguar in a unique and insular Brazilian Amazon ecosystem","title-short":"Big cats like water","volume":"68","author":[{"family":"Duarte","given":"Herbert O. B."},{"family":"Carvalho","given":"William D."},{"family":"De Toledo","given":"José Júlio"},{"family":"Rosalino","given":"Luís Miguel"}],"issued":{"date-parts":[["2023",7]]}},"label":"page"},{"id":7985,"uris":["http://zotero.org/users/11476620/items/AVPPGRSM"],"itemData":{"id":7985,"type":"thesis","event-place":"Santa Maria, RS, Brasil","language":"Portuguese","number-of-pages":"53","publisher":"Universidade Federal de Santa Maria","publisher-place":"Santa Maria, RS, Brasil","title":"Aspectos ecolóficos da onça-pintada (Panthera onca) em uma ilha costeira na região norte do Brasil","author":[{"family":"Vergara","given":"Michelini"}],"accessed":{"date-parts":[["2025",6,25]]},"issued":{"date-parts":[["2011"]]}},"label":"page"}],"schema":"https://github.com/citation-style-language/schema/raw/master/csl-citation.json"}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(Vergara 2011, Duarte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2023)</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Traps were inspected twice daily, during early morning and late afternoon. In addition to box traps, foot snares were deployed on trails previously assessed for soil firmness to ensure secure anchoring. Snare installation followed procedures outlined by de Araujo et al. 2021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{"citationID":"7jdlrSBm","properties":{"formattedCitation":"(De Araujo {\\i{}et al.} 2021)","plainCitation":"(De Araujo et al. 2021)","noteIndex":0},"citationItems":[{"id":7978,"uris":["http://zotero.org/users/11476620/items/HMF2SHZ4"],"itemData":{"id":7978,"type":"article-journal","abstract":"Abstract\n            \n              \n                \n                  The study of free‐living felids requires the capture of individuals from the wild to collect biological samples and to equip them with GPS‐satellite collars for telemetry monitoring. The traditional methods used by researchers to capture wild felids are box traps and trained hounds, both of which have disadvantages.\n                \n                \n                  We present the description of the foot snare and the adaptations required for the capture of jaguars and cougars, showing its efficiency.\n                \n                \n                  The foot snare consists of a combination of structures. It is composed of a thrower system, which is responsible for closing the steel cable noose on the paw of the animal; a holding system, which is responsible for securing the animal safely, after stepping into the trap; and a monitoring system, consisting of a VHF transmitter that allows remote monitoring of the snares. The snares are set on trails and roads according to the presence of tracks, scats and other evidence indicating use by the two species of large felids or as determined by monitoring camera traps.\n                \n                \n                  Thirty jaguars (16 females and 14 males) and six cougars (all males) were captured. Three jaguars in the Pantanal were captured more than once, therefore totalling 34 capture events. Snares have been demonstrated to be a safe and efficient method to capture these felids.\n                \n              \n            \n          , \n            Resumo\n            \n              \n                \n                  O estudo de felídeos selvagens de vida livre requer a captura de indivíduos da natureza para colher amostras biológicas e equipá‐los com colares com GPS para monitoramento por telemetria. Os métodos tradicionais utilizados pelos pesquisadores para capturar felídeos selvagens são armadilhas de gaiolas e cães treinados, ambos apresentando desvantagens.\n                \n                \n                  Apresentamos a descrição da técnica de laço e as adaptações necessárias para a captura de onçaspintadas e onças‐pardas, comprovando sua eficiência.\n                \n                \n                  O laço consiste em uma combinação de estruturas. É composto por um sistema de gatilho, responsável por fechar o laço do cabo de aço na pata do animal; um sistema de contenção, responsável por proteger o animal com segurança, depois de entrar na armadilha; e um sistema de monitoramento, consistindo em um transmissor VHF que permite o monitoramento remoto das armadilhas. As armadilhas são colocadas em trilhas e estradas de acordo com a presença de trilhas, arranhados e outras evidências indicando o uso pelas duas espécies de felídeos grandes, ou conforme determinado pelo monitoramento das armadilhas fotográficas.\n                \n                \n                  Trinta onças‐pintadas (16 fêmeas e 14 machos) e seis onças‐pardas (todos machos) foram capturados. Três onças‐pintadas no Pantanal foram capturadas mais de uma vez, totalizando 34 eventos de captura. As armadilhas provaram ser um método seguro e eficiente para capturar estes felídeos.","container-title":"Methods in Ecology and Evolution","DOI":"10.1111/2041-210X.13516","ISSN":"2041-210X, 2041-210X","issue":"2","journalAbbreviation":"Methods Ecol Evol","language":"en","page":"322-327","source":"DOI.org (Crossref)","title":"Use of foot snares to capture large felids","volume":"12","author":[{"family":"De Araujo","given":"Gediendson Ribeiro"},{"family":"De Deco‐Souza","given":"Thyara"},{"family":"Morato","given":"Ronaldo Gonçalves"},{"family":"Crawshaw","given":"Peter G."},{"family":"Da Silva","given":"Leanes Cruz"},{"family":"Jorge‐Neto","given":"Pedro Nacib"},{"family":"Csermak‐Jr","given":"Antônio Carlos"},{"family":"Bergo","given":"Letícia C. F."},{"family":"Kantek","given":"Daniel Luis Zanella"},{"family":"Miyazaki","given":"Selma Samiko"},{"family":"Beisiegel","given":"Beatriz De Mello"},{"family":"Tortato","given":"Fernando Rodrigo"},{"family":"May‐Junior","given":"Joares Adenilson"},{"family":"Da Silva","given":"Maitê Cardoso Coelho"},{"family":"Leuzinger","given":"Lucas"},{"family":"Salomão‐Jr","given":"Jorge Aparecido"},{"family":"De Paula","given":"Tarcizio Antônio Rego"}],"editor":[{"family":"Ellison","given":"Aaron"}],"issued":{"date-parts":[["2021",2]]}}}],"schema":"https://github.com/citation-style-language/schema/raw/master/csl-citation.json"}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(De Araujo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2021)</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incorporating a torsion-spring-powered thrower, a robust anchoring system using rebar stakes, and a VHF telemetry-based remote monitoring system allowing checks at maximum one-hour intervals. Transmitter activation occurred via magnetic switch detachment, facilitating rapid response upon capture. Trained hounds were also used to track fresh jaguar scent trails, consistent with McBride &amp; McBride (2007)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{"citationID":"aDnmZpA7","properties":{"formattedCitation":"(McBride 2007)","plainCitation":"(McBride 2007)","noteIndex":0},"citationItems":[{"id":7979,"uris":["http://zotero.org/users/11476620/items/8DHZZ4TB"],"itemData":{"id":7979,"type":"article-journal","abstract":"Capture techniques are an important consideration for studies involving endangered or threatened species. Mortality or serious injury can cause an unfavorable reaction from the public and bias results. Safe and selective capture of jaguars (Panthera onca) depends on such factors as environmental conditions in the study area, accessibility, avoidance of nontarget animals, budget, time, mobility, and skills and training of the capture team. In consideration of these factors, trained cat hounds were chosen as a capture method for a study of jaguars in the Chaco of Paraguay. During winter months of June and July 2002 through 2006, representing 5 capture periods, 15 jaguars were captured and fitted with GPS-VHF collars during 92 days of hunting. Four of these 15 jaguars were recaptured and refitted with new collars. No jaguar was killed or injured during capture or recapture, and no nontarget animal, including jaguar kittens, was chased, captured, or harassed. Post-capture monitoring via telemetry indicated that 14 jaguars moved 1-5 km from capture site the following day, with Jaguar 2 moving 12 km the day after capture. Six collared jaguars were captured on camera 24 times. Camera-trap photos gave visual support that the collared jaguars remained in good physical condition. /// Las t�cnicas de captura son de importante consideraci�n en el caso de estudios relacionados a especies amenazadas o vulnerables. Muertes o lesiones graves pueden causar una reacci�n desfavorable de la opini�n p�blica e influir negativamente los resultados. La captura selectiva y segura del jaguar (Panthera onca) depende de factores tales como: condiciones ambientales y accesibilidad en el �rea de estudio, prevenci�n de la captura de animales no deseados, presupuesto, tiempo, movilidad y el entrenamiento y la habilidad del equipo de captura. En consideraci�n a estos factores, para el estudio del jaguar en el chaco paraguayo, fueron escogidos como m�todo de captura sabuesos rastreadores de felinos. Durante los meses de invierno junio y julio de 2002 a 2006, en 5 periodos de capturas totalizando 92 d�as de persecuci�n, 15 jaguares fueron capturados y equipados con collares GPS-VHF. Cuatro de estos 15 jaguares fueron recapturados y equipados con collares nuevos. Ning�n ejemplar fue matado o da�ado durante la captura o recaptura, as� como ning�n animal no objeto de estudio, incluyendo cachorros de jaguar, fue hostigado, capturado o acosado. El monitoreo v�a telemetr�a indic� que 14 jaguares se trasladaron entre 1 y 5 km del sitio de captura el d�a siguiente, con el jaguar #2 traslad�ndose 12 km el d�a despu�s de la captura. Seis jaguares con collar fueron capturados por c�mara 24 veces. Las fotograf�as de las c�maras trampas dieron apoyo visual de la buena condici�n f�sica en que se mantuvieron los jaguares equipados con collares.","container-title":"The Southwestern Naturalist","ISSN":"0038-4909","issue":"4","page":"570-577","publisher":"Southwestern Association of Naturalists","source":"JSTOR","title":"Safe and Selective Capture Technique for Jaguars in the Paraguayan Chaco","volume":"52","author":[{"family":"McBride","given":"R. T."}],"issued":{"date-parts":[["2007"]]}}}],"schema":"https://github.com/citation-style-language/schema/raw/master/csl-citation.json"} </w:instrText>
      </w:r>
      <w:r w:rsidRPr="00D11827">
        <w:rPr>
          <w:rFonts w:ascii="Times New Roman" w:hAnsi="Times New Roman" w:cs="Times New Roman"/>
          <w:color w:val="000000" w:themeColor="text1"/>
        </w:rPr>
        <w:fldChar w:fldCharType="separate"/>
      </w:r>
      <w:r w:rsidR="00E21B60">
        <w:rPr>
          <w:rFonts w:ascii="Times New Roman" w:hAnsi="Times New Roman" w:cs="Times New Roman"/>
          <w:color w:val="000000" w:themeColor="text1"/>
        </w:rPr>
        <w:t>(McBride 2007)</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The hounds were used to locate and bay the animals, enabling remote chemical immobilization via a dart projector rifle. The team was prepared to manage arboreal containment situations, including deploying safety nets to mitigate risks during tree descents.</w:t>
      </w:r>
    </w:p>
    <w:p w14:paraId="4C702EFF" w14:textId="7789EEB9" w:rsidR="003D4EB1" w:rsidRDefault="00000000" w:rsidP="00D11827">
      <w:pPr>
        <w:spacing w:after="60" w:line="480" w:lineRule="auto"/>
        <w:ind w:firstLine="720"/>
        <w:rPr>
          <w:rFonts w:ascii="Times New Roman" w:hAnsi="Times New Roman" w:cs="Times New Roman"/>
          <w:color w:val="000000" w:themeColor="text1"/>
        </w:rPr>
      </w:pPr>
      <w:r w:rsidRPr="00D11827">
        <w:rPr>
          <w:rFonts w:ascii="Times New Roman" w:hAnsi="Times New Roman" w:cs="Times New Roman"/>
          <w:color w:val="000000" w:themeColor="text1"/>
        </w:rPr>
        <w:t>In the first campaign (2019), three individuals were captured; in the second (2023), two individuals, including the recapture of a female (named Iemanja); and in the third (2024), three additional individuals. Captured individuals (n=7) were chemically immobilized by intramuscular administration of medetomidine (0.1 mg/kg) and ketamine (5 mg/kg). Additionally, biological samples were collected, biometric measurements were recorded, and the animals were fitted with GPS collars (Telonics® TGW-4577-4 and Iridium Terrestrial Systems). The GPS collars were set to record locations at either 30</w:t>
      </w:r>
      <w:r w:rsidR="002709FA" w:rsidRPr="00D11827">
        <w:rPr>
          <w:rFonts w:ascii="Times New Roman" w:hAnsi="Times New Roman" w:cs="Times New Roman"/>
          <w:color w:val="000000" w:themeColor="text1"/>
        </w:rPr>
        <w:t>-</w:t>
      </w:r>
      <w:r w:rsidRPr="00D11827">
        <w:rPr>
          <w:rFonts w:ascii="Times New Roman" w:hAnsi="Times New Roman" w:cs="Times New Roman"/>
          <w:color w:val="000000" w:themeColor="text1"/>
        </w:rPr>
        <w:t>, or 60</w:t>
      </w:r>
      <w:r w:rsidR="002709FA" w:rsidRPr="00D11827">
        <w:rPr>
          <w:rFonts w:ascii="Times New Roman" w:hAnsi="Times New Roman" w:cs="Times New Roman"/>
          <w:color w:val="000000" w:themeColor="text1"/>
        </w:rPr>
        <w:t>-</w:t>
      </w:r>
      <w:r w:rsidRPr="00D11827">
        <w:rPr>
          <w:rFonts w:ascii="Times New Roman" w:hAnsi="Times New Roman" w:cs="Times New Roman"/>
          <w:color w:val="000000" w:themeColor="text1"/>
        </w:rPr>
        <w:t xml:space="preserve">minute intervals (Table S1). Once all procedures were completed, anesthesia was reversed using Atipamezole </w:t>
      </w:r>
      <w:r w:rsidRPr="00D11827">
        <w:rPr>
          <w:rFonts w:ascii="Times New Roman" w:hAnsi="Times New Roman" w:cs="Times New Roman"/>
          <w:color w:val="000000" w:themeColor="text1"/>
        </w:rPr>
        <w:lastRenderedPageBreak/>
        <w:t xml:space="preserve">(0.25 mg/kg, Precision Pharmacy) or Yohimbine (0.3 mg/kg). Veterinary supervision was maintained throughout the entire process to ensure animal welfare. </w:t>
      </w:r>
      <w:r w:rsidRPr="00D11827">
        <w:rPr>
          <w:rFonts w:ascii="Times New Roman" w:hAnsi="Times New Roman" w:cs="Times New Roman"/>
          <w:color w:val="000000" w:themeColor="text1"/>
        </w:rPr>
        <w:br/>
      </w:r>
      <w:r w:rsidRPr="00D11827">
        <w:rPr>
          <w:rFonts w:ascii="Times New Roman" w:hAnsi="Times New Roman" w:cs="Times New Roman"/>
          <w:color w:val="000000" w:themeColor="text1"/>
        </w:rPr>
        <w:tab/>
        <w:t xml:space="preserve"> The capture and handling protocols complied with ethical standards and received approval from the Chico Mendes Institute for Biodiversity Conservation, under license number 63094, and the Ethics Committee for Animal Use at the University of Mato Grosso do Sul, under license number nº 1.221/2022. All procedures strictly adhered to the ethical guidelines of the American Society of Mammalogists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{"citationID":"dXz7JhcM","properties":{"formattedCitation":"(Sikes &amp; the Animal Care and Use Committee of the American Society of Mammalogists 2016)","plainCitation":"(Sikes &amp; the Animal Care and Use Committee of the American Society of Mammalogists 2016)","noteIndex":0},"citationItems":[{"id":7976,"uris":["http://zotero.org/users/11476620/items/8G4WKGA4"],"itemData":{"id":7976,"type":"article-journal","container-title":"Journal of Mammalogy","DOI":"10.1093/jmammal/gyw078","ISSN":"0022-2372, 1545-1542","issue":"3","journalAbbreviation":"JMAMMAL","language":"en","page":"663-688","source":"DOI.org (Crossref)","title":"2016 Guidelines of the American Society of Mammalogists for the use of wild mammals in research and education:","title-short":"2016 Guidelines of the American Society of Mammalogists for the use of wild mammals in research and education","volume":"97","author":[{"family":"Sikes","given":"Robert S."},{"literal":"the Animal Care and Use Committee of the American Society of Mammalogists"}],"issued":{"date-parts":[["2016",6,9]]}}}],"schema":"https://github.com/citation-style-language/schema/raw/master/csl-citation.json"} </w:instrText>
      </w:r>
      <w:r w:rsidRPr="00D11827">
        <w:rPr>
          <w:rFonts w:ascii="Times New Roman" w:hAnsi="Times New Roman" w:cs="Times New Roman"/>
          <w:color w:val="000000" w:themeColor="text1"/>
        </w:rPr>
        <w:fldChar w:fldCharType="separate"/>
      </w:r>
      <w:r w:rsidR="00E21B60">
        <w:rPr>
          <w:rFonts w:ascii="Times New Roman" w:hAnsi="Times New Roman" w:cs="Times New Roman"/>
          <w:color w:val="000000" w:themeColor="text1"/>
        </w:rPr>
        <w:t>(Sikes &amp; the Animal Care and Use Committee of the American Society of Mammalogists 2016)</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w:t>
      </w:r>
    </w:p>
    <w:p w14:paraId="629A3B6C" w14:textId="77777777" w:rsidR="00D11827" w:rsidRPr="00D11827" w:rsidRDefault="00D11827" w:rsidP="00D11827">
      <w:pPr>
        <w:spacing w:after="60" w:line="480" w:lineRule="auto"/>
        <w:ind w:firstLine="720"/>
        <w:rPr>
          <w:rFonts w:ascii="Times New Roman" w:hAnsi="Times New Roman" w:cs="Times New Roman"/>
          <w:color w:val="000000" w:themeColor="text1"/>
        </w:rPr>
      </w:pPr>
    </w:p>
    <w:p w14:paraId="06C7D611" w14:textId="2DA693C7" w:rsidR="003D4EB1" w:rsidRPr="00D11827" w:rsidRDefault="00EB0E99" w:rsidP="00D11827">
      <w:pPr>
        <w:pStyle w:val="Heading2"/>
        <w:spacing w:line="480" w:lineRule="auto"/>
        <w:rPr>
          <w:rFonts w:ascii="Times New Roman" w:hAnsi="Times New Roman" w:cs="Times New Roman"/>
          <w:color w:val="000000" w:themeColor="text1"/>
          <w:sz w:val="24"/>
          <w:szCs w:val="24"/>
        </w:rPr>
      </w:pPr>
      <w:bookmarkStart w:id="5" w:name="_a7c7qyp72tr5" w:colFirst="0" w:colLast="0"/>
      <w:bookmarkEnd w:id="5"/>
      <w:r>
        <w:rPr>
          <w:rFonts w:ascii="Times New Roman" w:hAnsi="Times New Roman" w:cs="Times New Roman"/>
          <w:color w:val="000000" w:themeColor="text1"/>
          <w:sz w:val="24"/>
          <w:szCs w:val="24"/>
        </w:rPr>
        <w:t xml:space="preserve">2.3 </w:t>
      </w:r>
      <w:r w:rsidRPr="00D11827">
        <w:rPr>
          <w:rFonts w:ascii="Times New Roman" w:hAnsi="Times New Roman" w:cs="Times New Roman"/>
          <w:color w:val="000000" w:themeColor="text1"/>
          <w:sz w:val="24"/>
          <w:szCs w:val="24"/>
        </w:rPr>
        <w:t>Animal movement analysis</w:t>
      </w:r>
    </w:p>
    <w:p w14:paraId="3B6BED18" w14:textId="3F86AAB6" w:rsidR="003D4EB1" w:rsidRPr="00D11827" w:rsidRDefault="00EB0E99" w:rsidP="00D11827">
      <w:pPr>
        <w:pStyle w:val="Heading3"/>
        <w:spacing w:line="480" w:lineRule="auto"/>
        <w:jc w:val="left"/>
        <w:rPr>
          <w:rFonts w:ascii="Times New Roman" w:hAnsi="Times New Roman" w:cs="Times New Roman"/>
          <w:color w:val="000000" w:themeColor="text1"/>
          <w:sz w:val="24"/>
          <w:szCs w:val="24"/>
        </w:rPr>
      </w:pPr>
      <w:bookmarkStart w:id="6" w:name="_umrtuhqydhzb" w:colFirst="0" w:colLast="0"/>
      <w:bookmarkEnd w:id="6"/>
      <w:r>
        <w:rPr>
          <w:rFonts w:ascii="Times New Roman" w:hAnsi="Times New Roman" w:cs="Times New Roman"/>
          <w:color w:val="000000" w:themeColor="text1"/>
          <w:sz w:val="24"/>
          <w:szCs w:val="24"/>
        </w:rPr>
        <w:t xml:space="preserve">2.3.1 </w:t>
      </w:r>
      <w:r w:rsidRPr="00D11827">
        <w:rPr>
          <w:rFonts w:ascii="Times New Roman" w:hAnsi="Times New Roman" w:cs="Times New Roman"/>
          <w:color w:val="000000" w:themeColor="text1"/>
          <w:sz w:val="24"/>
          <w:szCs w:val="24"/>
        </w:rPr>
        <w:t>Movement data pre-processing and modelling</w:t>
      </w:r>
    </w:p>
    <w:p w14:paraId="36737DEC" w14:textId="107B9687" w:rsidR="003D4EB1" w:rsidRPr="00D11827" w:rsidRDefault="00000000" w:rsidP="00D11827">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 xml:space="preserve">Before analysis, we performed a data cleaning process to remove any outliers using the methods implemented in the </w:t>
      </w:r>
      <w:r w:rsidRPr="00D11827">
        <w:rPr>
          <w:rFonts w:ascii="Times New Roman" w:eastAsia="Courier New" w:hAnsi="Times New Roman" w:cs="Times New Roman"/>
          <w:color w:val="000000" w:themeColor="text1"/>
        </w:rPr>
        <w:t>R</w:t>
      </w:r>
      <w:r w:rsidRPr="00D11827">
        <w:rPr>
          <w:rFonts w:ascii="Times New Roman" w:hAnsi="Times New Roman" w:cs="Times New Roman"/>
          <w:color w:val="000000" w:themeColor="text1"/>
        </w:rPr>
        <w:t xml:space="preserve"> package </w:t>
      </w:r>
      <w:r w:rsidRPr="00D11827">
        <w:rPr>
          <w:rFonts w:ascii="Times New Roman" w:eastAsia="Courier New" w:hAnsi="Times New Roman" w:cs="Times New Roman"/>
          <w:color w:val="000000" w:themeColor="text1"/>
        </w:rPr>
        <w:t>ctmm</w:t>
      </w:r>
      <w:r w:rsidRPr="00D11827">
        <w:rPr>
          <w:rFonts w:ascii="Times New Roman" w:hAnsi="Times New Roman" w:cs="Times New Roman"/>
          <w:color w:val="000000" w:themeColor="text1"/>
        </w:rPr>
        <w:t xml:space="preserve">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{"citationID":"syXWyjs9","properties":{"formattedCitation":"(Calabrese {\\i{}et al.} 2021)","plainCitation":"(Calabrese et al. 2021)","noteIndex":0},"citationItems":[{"id":2559,"uris":["http://zotero.org/users/11476620/items/HA9YNS72"],"itemData":{"id":2559,"type":"article-journal","container-title":"Wildlife Society Bulletin","DOI":"10.1002/wsb.1154","ISSN":"2328-5540","issue":"1","page":"162-169","title":"ctmmweb: A Graphical User Interface for Autocorrelation‐Informed Home Range Estimation","volume":"45","author":[{"family":"Calabrese","given":"Justin M."},{"family":"Fleming","given":"Christen H."},{"family":"Noonan","given":"Michael J."},{"family":"Dong","given":"Xianghui"}],"issued":{"date-parts":[["2021",3,12]]}}}],"schema":"https://github.com/citation-style-language/schema/raw/master/csl-citation.json"}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(Calabrese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2021)</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For each individual dataset, we first removed entries without coordinates, or with duplicate timestamps for all animals. We then removed outliers based on distance from the median location, and the minimum speed required to explain each location’s displacement. Through this second process, we identified a total of 18 outliers, which represented &lt;0.02% of the 68,934 GPS locations. The final dataset is shown in figure 1. For each of the collared jaguars, we then confirmed range-residency via variogram analysis (Fig S1;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{"citationID":"fUjn5RX6","properties":{"formattedCitation":"(Fleming {\\i{}et al.} 2014)","plainCitation":"(Fleming et al. 2014)","noteIndex":0},"citationItems":[{"id":7994,"uris":["http://zotero.org/users/11476620/items/HQ9GHGLR"],"itemData":{"id":7994,"type":"article-journal","container-title":"The American Naturalist","DOI":"10.1086/675504","ISSN":"0003-0147, 1537-5323","issue":"5","journalAbbreviation":"The American Naturalist","language":"en","page":"E154-E167","source":"DOI.org (Crossref)","title":"From Fine-Scale Foraging to Home Ranges: A Semivariance Approach to Identifying Movement Modes across Spatiotemporal Scales","title-short":"From Fine-Scale Foraging to Home Ranges","volume":"183","author":[{"family":"Fleming","given":"Chris H."},{"family":"Calabrese","given":"Justin M."},{"family":"Mueller","given":"Thomas"},{"family":"Olson","given":"Kirk A."},{"family":"Leimgruber","given":"Peter"},{"family":"Fagan","given":"William F."}],"issued":{"date-parts":[["2014",5]]}}}],"schema":"https://github.com/citation-style-language/schema/raw/master/csl-citation.json"}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(Fleming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2014)</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fit a series of continuous-time movement models to the location data, using perturbative-hybrid residual maximum likelihood (pHREML;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{"citationID":"9bmvnoEH","properties":{"formattedCitation":"(Fleming {\\i{}et al.} 2019)","plainCitation":"(Fleming et al. 2019)","noteIndex":0},"citationItems":[{"id":7580,"uris":["http://zotero.org/users/11476620/items/N8GNG6HD","http://zotero.org/users/11476620/items/5KTNTWAX"],"itemData":{"id":7580,"type":"article-journal","abstract":"Abstract\n            \n              \n                \n                  Technological advances have steadily increased the detail of animal tracking datasets, yet fundamental data limitations exist for many species that cause substantial biases in home‐range estimation. Specifically, the effective sample size of a range estimate is proportional to the number of observed range crossings, not the number of sampled locations. Currently, the most accurate home‐range estimators condition on an autocorrelation model, for which the standard estimation frame‐works are based on likelihood functions, even though these methods are known to underestimate variance—and therefore ranging area—when effective sample sizes are small.\n                \n                \n                  \n                    Residual maximum likelihood (REML) is a widely used method for reducing bias in maximum‐likelihood (ML) variance estimation at small sample sizes. Unfortunately, we find that REML is too unstable for practical application to continuous‐time movement models. When the effective sample size\n                    N\n                    is decreased to\n                    N ≤ \n                    \n                    (10), which is common in tracking applications, REML undergoes a sudden divergence in variance estimation. To avoid this issue, while retaining REML’s first‐order bias correction, we derive a family of estimators that leverage REML to make a perturbative correction to ML. We also derive AIC values for REML and our estimators, including cases where model structures differ, which is not generally understood to be possible.\n                  \n                \n                \n                  \n                    Using both simulated data and GPS data from lowland tapir (\n                    Tapirus terrestris\n                    ), we show how our perturbative estimators are more accurate than traditional ML and REML methods. Specifically, when\n                    \n                    (5) home‐range crossings are observed, REML is unreliable by orders of magnitude, ML home ranges are ~30% underestimated, and our perturbative estimators yield home ranges that are only ~10% underestimated. A parametric bootstrap can then reduce the ML and perturbative home‐range underestimation to ~10% and ~3%, respectively.\n                  \n                \n                \n                  Home‐range estimation is one of the primary reasons for collecting animal tracking data, and small effective sample sizes are a more common problem than is currently realized. The methods introduced here allow for more accurate movement‐model and home‐range estimation at small effective sample sizes, and thus fill an important role for animal movement analysis. Given REML’s widespread use, our methods may also be useful in other contexts where effective sample sizes are small.","container-title":"Methods in Ecology and Evolution","DOI":"10.1111/2041-210X.13270","ISSN":"2041-210X, 2041-210X","issue":"10","journalAbbreviation":"Methods Ecol Evol","language":"en","page":"1679-1689","source":"DOI.org (Crossref)","title":"Overcoming the challenge of small effective sample sizes in home‐range estimation","volume":"10","author":[{"family":"Fleming","given":"Christen H."},{"family":"Noonan","given":"Michael J."},{"family":"Medici","given":"Emilia Patricia"},{"family":"Calabrese","given":"Justin M."}],"editor":[{"family":"Matthiopoulos","given":"Jason"}],"issued":{"date-parts":[["2019",10]]}}}],"schema":"https://github.com/citation-style-language/schema/raw/master/csl-citation.json"}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(Fleming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2019)</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and identified the best model via small sample-sized corrected Akaike’s information criterion (AICc). The models were also validated via variogram analysis, and all were found to match the key features in the data (Fig S1). The best-fit model for all individuals was the Ornstein-Uhlenbeck with Foraging model (OUF), which features home-ranging behaviour, correlated positions, and correlated </w:t>
      </w:r>
      <w:r w:rsidRPr="00D11827">
        <w:rPr>
          <w:rFonts w:ascii="Times New Roman" w:hAnsi="Times New Roman" w:cs="Times New Roman"/>
          <w:color w:val="000000" w:themeColor="text1"/>
        </w:rPr>
        <w:lastRenderedPageBreak/>
        <w:t xml:space="preserve">velocities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{"citationID":"Kj4jQEBp","properties":{"formattedCitation":"(Fleming {\\i{}et al.} 2014)","plainCitation":"(Fleming et al. 2014)","noteIndex":0},"citationItems":[{"id":7994,"uris":["http://zotero.org/users/11476620/items/HQ9GHGLR"],"itemData":{"id":7994,"type":"article-journal","container-title":"The American Naturalist","DOI":"10.1086/675504","ISSN":"0003-0147, 1537-5323","issue":"5","journalAbbreviation":"The American Naturalist","language":"en","page":"E154-E167","source":"DOI.org (Crossref)","title":"From Fine-Scale Foraging to Home Ranges: A Semivariance Approach to Identifying Movement Modes across Spatiotemporal Scales","title-short":"From Fine-Scale Foraging to Home Ranges","volume":"183","author":[{"family":"Fleming","given":"Chris H."},{"family":"Calabrese","given":"Justin M."},{"family":"Mueller","given":"Thomas"},{"family":"Olson","given":"Kirk A."},{"family":"Leimgruber","given":"Peter"},{"family":"Fagan","given":"William F."}],"issued":{"date-parts":[["2014",5]]}}}],"schema":"https://github.com/citation-style-language/schema/raw/master/csl-citation.json"}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(Fleming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2014)</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although parameters differed between individuals. The selected movement models then formed the basis of all of our downstream movement analyses.</w:t>
      </w:r>
    </w:p>
    <w:p w14:paraId="07B2962A" w14:textId="77777777" w:rsidR="003D4EB1" w:rsidRPr="00D11827" w:rsidRDefault="003D4EB1" w:rsidP="00D11827">
      <w:pPr>
        <w:spacing w:after="60" w:line="480" w:lineRule="auto"/>
        <w:rPr>
          <w:rFonts w:ascii="Times New Roman" w:hAnsi="Times New Roman" w:cs="Times New Roman"/>
          <w:color w:val="000000" w:themeColor="text1"/>
        </w:rPr>
      </w:pPr>
    </w:p>
    <w:p w14:paraId="69376B0C" w14:textId="73735817" w:rsidR="003D4EB1" w:rsidRPr="00D11827" w:rsidRDefault="00EB0E99" w:rsidP="00D11827">
      <w:pPr>
        <w:pStyle w:val="Heading3"/>
        <w:spacing w:line="480" w:lineRule="auto"/>
        <w:jc w:val="left"/>
        <w:rPr>
          <w:rFonts w:ascii="Times New Roman" w:hAnsi="Times New Roman" w:cs="Times New Roman"/>
          <w:color w:val="000000" w:themeColor="text1"/>
          <w:sz w:val="24"/>
          <w:szCs w:val="24"/>
        </w:rPr>
      </w:pPr>
      <w:bookmarkStart w:id="7" w:name="_q3pcv3c6kbch" w:colFirst="0" w:colLast="0"/>
      <w:bookmarkEnd w:id="7"/>
      <w:r>
        <w:rPr>
          <w:rFonts w:ascii="Times New Roman" w:hAnsi="Times New Roman" w:cs="Times New Roman"/>
          <w:color w:val="000000" w:themeColor="text1"/>
          <w:sz w:val="24"/>
          <w:szCs w:val="24"/>
        </w:rPr>
        <w:t xml:space="preserve">2.3.2 </w:t>
      </w:r>
      <w:r w:rsidRPr="00D11827">
        <w:rPr>
          <w:rFonts w:ascii="Times New Roman" w:hAnsi="Times New Roman" w:cs="Times New Roman"/>
          <w:color w:val="000000" w:themeColor="text1"/>
          <w:sz w:val="24"/>
          <w:szCs w:val="24"/>
        </w:rPr>
        <w:t>Home-range behaviour</w:t>
      </w:r>
    </w:p>
    <w:p w14:paraId="0E12A87E" w14:textId="33C1FEA5" w:rsidR="003D4EB1" w:rsidRPr="00D11827" w:rsidRDefault="00000000" w:rsidP="00D11827">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 xml:space="preserve">After fitting the movement models, we estimated each animal’s home-range area as the polygon delimited by the 95% isopleth of the utilization distribution using autocorrelated kernel density estimation (AKDE;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{"citationID":"b986vsKs","properties":{"formattedCitation":"(Fleming {\\i{}et al.} 2015)","plainCitation":"(Fleming et al. 2015)","noteIndex":0},"citationItems":[{"id":2556,"uris":["http://zotero.org/users/11476620/items/E4D9TVT7"],"itemData":{"id":2556,"type":"article-journal","container-title":"Ecology","DOI":"10.1890/14-2010.1","ISSN":"0012-9658","issue":"5","page":"1182-1188","title":"Rigorous home range estimation with movement data: a new autocorrelated kernel density estimator","volume":"96","author":[{"family":"Fleming","given":"C. H."},{"family":"Fagan","given":"W. F."},{"family":"Mueller","given":"T."},{"family":"Olson","given":"K. A."},{"family":"Leimgruber","given":"P."},{"family":"Calabrese","given":"J. M."}],"issued":{"date-parts":[["2015",5]]}}}],"schema":"https://github.com/citation-style-language/schema/raw/master/csl-citation.json"}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(Fleming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2015)</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These home-range estimates were conditioned on the movement models’ autocorrelation structures, and we implemented the small sample size bias correction of Fleming &amp; Calabrese (2017)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{"citationID":"Mp79dq4Z","properties":{"formattedCitation":"(Fleming &amp; Calabrese 2017)","plainCitation":"(Fleming &amp; Calabrese 2017)","noteIndex":0},"citationItems":[{"id":7582,"uris":["http://zotero.org/users/11476620/items/D8W3TBSV","http://zotero.org/users/11476620/items/EB9NNY7Y"],"itemData":{"id":7582,"type":"article-journal","abstract":"Summary\n            \n              \n              \n                \n                  \n                    Kernel density estimators are widely applied to area‐related problems in ecology, from estimating the home range of an individual to estimating the geographic range of a species. Currently, area estimates are obtained indirectly, by first estimating the location distribution from tracking (home range) or survey (geographic range) data and then estimating areas from that distribution. This indirect approach leads to biased area estimates and difficulty in deriving reasonable confidence intervals.\n                  \n                  \n                    We introduce a new kernel density estimator (and associated confidence intervals) focused specifically on area estimation that applies to both independently sampled survey data and autocorrelated tracking data. We test our methods against simulated movement data and demonstrate its use with African buffalo data.\n                  \n                  \n                    The area‐corrected kernel density estimator produces much more accurate area estimates, particularly at small sample sizes, and the newly derived confidence intervals are more reliable than existing alternatives.\n                  \n                  \n                    \n                      This new method is the most efficient nonparametric home‐range estimator for animal tracking data and should also be considered when calculating nonparametric range estimates from survey data. This estimator is now the default method in the\n                      ctmm r\n                      package.","container-title":"Methods in Ecology and Evolution","DOI":"10.1111/2041-210X.12673","ISSN":"2041-210X, 2041-210X","issue":"5","journalAbbreviation":"Methods Ecol Evol","language":"en","license":"http://onlinelibrary.wiley.com/termsAndConditions#vor","page":"571-579","source":"DOI.org (Crossref)","title":"A new kernel density estimator for accurate home‐range and species‐range area estimation","volume":"8","author":[{"family":"Fleming","given":"Christen H."},{"family":"Calabrese","given":"Justin M."}],"editor":[{"family":"Dray","given":"Stephane"}],"issued":{"date-parts":[["2017",5]]}}}],"schema":"https://github.com/citation-style-language/schema/raw/master/csl-citation.json"} </w:instrText>
      </w:r>
      <w:r w:rsidRPr="00D11827">
        <w:rPr>
          <w:rFonts w:ascii="Times New Roman" w:hAnsi="Times New Roman" w:cs="Times New Roman"/>
          <w:color w:val="000000" w:themeColor="text1"/>
        </w:rPr>
        <w:fldChar w:fldCharType="separate"/>
      </w:r>
      <w:r w:rsidR="00E21B60">
        <w:rPr>
          <w:rFonts w:ascii="Times New Roman" w:hAnsi="Times New Roman" w:cs="Times New Roman"/>
          <w:color w:val="000000" w:themeColor="text1"/>
        </w:rPr>
        <w:t>(Fleming &amp; Calabrese 2017)</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and the optimal weighting of Fleming et al. (2018)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{"citationID":"y5wDm6s2","properties":{"formattedCitation":"(Fleming {\\i{}et al.} 2018)","plainCitation":"(Fleming et al. 2018)","noteIndex":0},"citationItems":[{"id":7583,"uris":["http://zotero.org/users/11476620/items/XW2YUD6U","http://zotero.org/users/11476620/items/AL2WCMTQ"],"itemData":{"id":7583,"type":"article-journal","abstract":"Abstract\n            Home‐range estimation is an important application of animal tracking data that is frequently complicated by autocorrelation, sampling irregularity, and small effective sample sizes. We introduce a novel, optimal weighting method that accounts for temporal sampling bias in autocorrelated tracking data. This method corrects for irregular and missing data, such that oversampled times are downweighted and undersampled times are upweighted to minimize error in the home‐range estimate. We also introduce computationally efficient algorithms that make this method feasible with large data sets. Generally speaking, there are three situations where weight optimization improves the accuracy of home‐range estimates: with marine data, where the sampling schedule is highly irregular, with duty cycled data, where the sampling schedule changes during the observation period, and when a small number of home‐range crossings are observed, making the beginning and end times more independent and informative than the intermediate times. Using both simulated data and empirical examples including reef manta ray, Mongolian gazelle, and African buffalo, optimal weighting is shown to reduce the error and increase the spatial resolution of home‐range estimates. With a conveniently packaged and computationally efficient software implementation, this method broadens the array of data sets with which accurate space‐use assessments can be made.","container-title":"Ecological Applications","DOI":"10.1002/eap.1704","ISSN":"1051-0761, 1939-5582","issue":"4","journalAbbreviation":"Ecological Applications","language":"en","page":"1003-1010","source":"DOI.org (Crossref)","title":"Correcting for missing and irregular data in home‐range estimation","volume":"28","author":[{"family":"Fleming","given":"C. H."},{"family":"Sheldon","given":"D."},{"family":"Fagan","given":"W. F."},{"family":"Leimgruber","given":"P."},{"family":"Mueller","given":"T."},{"family":"Nandintsetseg","given":"D."},{"family":"Noonan","given":"M. J."},{"family":"Olson","given":"K. A."},{"family":"Setyawan","given":"E."},{"family":"Sianipar","given":"A."},{"family":"Calabrese","given":"J. M."}],"issued":{"date-parts":[["2018",6]]}}}],"schema":"https://github.com/citation-style-language/schema/raw/master/csl-citation.json"}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(Fleming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2018)</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Because these animals lived on an island, we mitigated any spillover bias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{"citationID":"QwX4uzZG","properties":{"formattedCitation":"(Noonan, Tucker, {\\i{}et al.} 2019)","plainCitation":"(Noonan, Tucker, et al. 2019)","noteIndex":0},"citationItems":[{"id":2561,"uris":["http://zotero.org/users/11476620/items/9CQJSTWI"],"itemData":{"id":2561,"type":"article-journal","container-title":"Ecological Monographs","DOI":"10.1002/ecm.1344","ISSN":"0012-9615","issue":"2","title":"A comprehensive analysis of autocorrelation and bias in home range estimation","URL":"https://onlinelibrary.wiley.com/doi/10.1002/ecm.1344","volume":"89","author":[{"family":"Noonan","given":"Michael J."},{"family":"Tucker","given":"Marlee A."},{"family":"Fleming","given":"Christen H."},{"family":"Akre","given":"Thomas S."},{"family":"Alberts","given":"Susan C."},{"family":"Ali","given":"Abdullahi H."},{"family":"Altmann","given":"Jeanne"},{"family":"Antunes","given":"Pamela Castro"},{"family":"Belant","given":"Jerrold L."},{"family":"Beyer","given":"Dean"},{"family":"Blaum","given":"Niels"},{"family":"Böhning‐Gaese","given":"Katrin"},{"family":"Cullen","given":"Laury"},{"family":"Paula","given":"Rogerio Cunha","non-dropping-particle":"de"},{"family":"Dekker","given":"Jasja"},{"family":"Drescher‐Lehman","given":"Jonathan"},{"family":"Farwig","given":"Nina"},{"family":"Fichtel","given":"Claudia"},{"family":"Fischer","given":"Christina"},{"family":"Ford","given":"Adam T."},{"family":"Goheen","given":"Jacob R."},{"family":"Janssen","given":"René"},{"family":"Jeltsch","given":"Florian"},{"family":"Kauffman","given":"Matthew"},{"family":"Kappeler","given":"Peter M."},{"family":"Koch","given":"Flávia"},{"family":"LaPoint","given":"Scott"},{"family":"Markham","given":"A. Catherine"},{"family":"Medici","given":"Emilia Patricia"},{"family":"Morato","given":"Ronaldo G."},{"family":"Nathan","given":"Ran"},{"family":"Oliveira‐Santos","given":"Luiz Gustavo R."},{"family":"Olson","given":"Kirk A."},{"family":"Patterson","given":"Bruce D."},{"family":"Paviolo","given":"Agustin"},{"family":"Ramalho","given":"Emiliano Esterci"},{"family":"Rösner","given":"Sascha"},{"family":"Schabo","given":"Dana G."},{"family":"Selva","given":"Nuria"},{"family":"Sergiel","given":"Agnieszka"},{"family":"Xavier da Silva","given":"Marina"},{"family":"Spiegel","given":"Orr"},{"family":"Thompson","given":"Peter"},{"family":"Ullmann","given":"Wiebke"},{"family":"Zięba","given":"Filip"},{"family":"Zwijacz‐Kozica","given":"Tomasz"},{"family":"Fagan","given":"William F."},{"family":"Mueller","given":"Thomas"},{"family":"Calabrese","given":"Justin M."}],"issued":{"date-parts":[["2019",5,31]]}}}],"schema":"https://github.com/citation-style-language/schema/raw/master/csl-citation.json"}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(Noonan, Tucker,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2019)</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by applying local kernel correction based on a spatial polygon of Maraca’s boundary during the kernel density estimation process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{"citationID":"Q9xMjTYq","properties":{"formattedCitation":"(Hollins {\\i{}et al.} 2025)","plainCitation":"(Hollins et al. 2025)","noteIndex":0},"citationItems":[{"id":8299,"uris":["http://zotero.org/users/11476620/items/83HUIWB3"],"itemData":{"id":8299,"type":"article-journal","abstract":"Abstract\n            \n              \n                \n                  An animal's home‐range plays a fundamental role in determining its resource use and overlap with conspecifics, competitors and predators, and is therefore a common focus of movement ecology studies. Autocorrelated kernel density estimation addresses many of the shortcomings of traditional home‐range estimators when animal tracking data are autocorrelated, but other challenges in home‐range estimation remain.\n                \n                \n                  One such issue is known as ‘spillover bias’, in which home‐range estimates do not respect impassable movement boundaries (e.g. shorelines and fences), and occurs in all forms of kernel density estimation. While several approaches to addressing spillover bias are used when estimating home ranges, these approaches introduce bias throughout the remaining home‐range area, depending on the amount of spillover removed, or are otherwise inaccessible to most ecologists. Here, we introduce local corrections to home‐range kernels to mitigate spillover bias in (autocorrelated) kernel density estimation in the continuous time movement model (ctmm) package, and demonstrate their performance using simulations with known home‐range extents and distributions, and a real‐world case study.\n                \n                \n                  \n                    Simulation results showed that local corrections minimized bias in bounded home‐range area estimates, and resulted in more accurate distributions when compared with commonly used\n                    post hoc\n                    corrections, particularly at small–intermediate sample sizes.\n                  \n                \n                \n                  \n                    Comparison of the impacts of local vs. post hoc corrections to bounded home‐ranges estimated from lake trout (\n                    Salvelinus namaycush\n                    ) demonstrated that local corrections constrained the redistribution of probability mass within the remaining home‐range area, resulting in proportionally smaller home‐range areas compared with when post hoc corrections are used.","container-title":"Methods in Ecology and Evolution","DOI":"10.1111/2041-210X.70082","ISSN":"2041-210X, 2041-210X","issue":"12","journalAbbreviation":"Methods Ecol Evol","language":"en","page":"2945-2959","source":"DOI.org (Crossref)","title":"Home‐range spillover in habitats with impassable boundaries: Causes, biases and corrections using autocorrelated kernel density estimation","title-short":"Home‐range spillover in habitats with impassable boundaries","volume":"16","author":[{"family":"Hollins","given":"Jack P. W."},{"family":"Fleming","given":"Christen H."},{"family":"Calabrese","given":"Justin M."},{"family":"Harris","given":"Les N."},{"family":"Moore","given":"Jean Sebastien"},{"family":"Malley","given":"Brendan K."},{"family":"Noonan","given":"Michael J."},{"family":"Fagan","given":"William F."},{"family":"Alston","given":"Jesse M."},{"family":"Hussey","given":"Nigel E."}],"issued":{"date-parts":[["2025",12]]}}}],"schema":"https://github.com/citation-style-language/schema/raw/master/csl-citation.json"}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(Hollins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2025)</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To test for a difference in home-range areas between sexes, we used the meta-regression methods implemented in </w:t>
      </w:r>
      <w:r w:rsidRPr="00D11827">
        <w:rPr>
          <w:rFonts w:ascii="Times New Roman" w:eastAsia="Courier New" w:hAnsi="Times New Roman" w:cs="Times New Roman"/>
          <w:color w:val="000000" w:themeColor="text1"/>
        </w:rPr>
        <w:t>ctmm</w:t>
      </w:r>
      <w:r w:rsidRPr="00D11827">
        <w:rPr>
          <w:rFonts w:ascii="Times New Roman" w:hAnsi="Times New Roman" w:cs="Times New Roman"/>
          <w:color w:val="000000" w:themeColor="text1"/>
        </w:rPr>
        <w:t xml:space="preserve">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{"citationID":"6bfcI8Ha","properties":{"formattedCitation":"(Fleming {\\i{}et al.} 2022)","plainCitation":"(Fleming et al. 2022)","noteIndex":0},"citationItems":[{"id":7998,"uris":["http://zotero.org/users/11476620/items/PIY46SM4"],"itemData":{"id":7998,"type":"article-journal","abstract":"Abstract\n            \n              \n                \n                  Home‐range estimates are a common product of animal tracking data, as each range represents the area needed by a given individual. Population‐level inference of home‐range areas—where multiple individual home ranges are considered to be sampled from a population—is also important to evaluate changes over time, space or covariates such as habitat quality or fragmentation, and for comparative analyses of species averages. Population‐level home‐range parameters have traditionally been estimated by first assuming that the input tracking data were sampled independently when calculating home ranges via conventional kernel density estimation (KDE) or minimal convex polygon (MCP) methods, and then assuming that those individual home ranges were measured exactly when calculating the population‐level estimates. This conventional approach does not account for the temporal autocorrelation that is inherent in modern tracking data, nor for the uncertainties of each individual home‐range estimate, which are often large and heterogeneous.\n                \n                \n                  Here, we introduce a statistically and computationally efficient framework for the population‐level analysis of home‐range areas, based on autocorrelated kernel density estimation (AKDE), that can account for variable temporal autocorrelation and estimation uncertainty.\n                \n                \n                  \n                    We apply our method to empirical examples on lowland tapir\n                    Tapirus terrestris\n                    , kinkajou\n                    Potos flavus\n                    , white‐nosed coati\n                    Nasua narica\n                    , white‐faced capuchin monkey\n                    Cebus capucinus\n                    and spider monkey\n                    Ateles geoffroyi\n                    , and quantify differences between species, environments and sexes.\n                  \n                \n                \n                  Our approach allows researchers to more accurately compare different populations with different movement behaviours or sampling schedules while retaining statistical precision and power when individual home‐range uncertainties vary. Finally, we emphasize the estimation of effect sizes when comparing populations, rather than mere significance tests.","container-title":"Methods in Ecology and Evolution","DOI":"10.1111/2041-210X.13815","ISSN":"2041-210X, 2041-210X","issue":"5","journalAbbreviation":"Methods Ecol Evol","language":"en","page":"1027-1041","source":"DOI.org (Crossref)","title":"Population‐level inference for home‐range areas","volume":"13","author":[{"family":"Fleming","given":"Christen H."},{"family":"Deznabi","given":"Iman"},{"family":"Alavi","given":"Shauhin"},{"family":"Crofoot","given":"Margaret C."},{"family":"Hirsch","given":"Ben T."},{"family":"Medici","given":"E. Patricia"},{"family":"Noonan","given":"Michael J."},{"family":"Kays","given":"Roland"},{"family":"Fagan","given":"William F."},{"family":"Sheldon","given":"Daniel"},{"family":"Calabrese","given":"Justin M."}],"issued":{"date-parts":[["2022",5]]}}}],"schema":"https://github.com/citation-style-language/schema/raw/master/csl-citation.json"}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(Fleming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2022)</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Because </w:t>
      </w:r>
      <w:r w:rsidRPr="00D11827">
        <w:rPr>
          <w:rFonts w:ascii="Times New Roman" w:eastAsia="Courier New" w:hAnsi="Times New Roman" w:cs="Times New Roman"/>
          <w:color w:val="000000" w:themeColor="text1"/>
        </w:rPr>
        <w:t>ctmm</w:t>
      </w:r>
      <w:r w:rsidRPr="00D11827">
        <w:rPr>
          <w:rFonts w:ascii="Times New Roman" w:hAnsi="Times New Roman" w:cs="Times New Roman"/>
          <w:color w:val="000000" w:themeColor="text1"/>
        </w:rPr>
        <w:t xml:space="preserve"> only allows for comparing categorical variables, we tested for correlations between home-range size and both age and weight via the meta-regression methods implemented in the </w:t>
      </w:r>
      <w:r w:rsidRPr="00D11827">
        <w:rPr>
          <w:rFonts w:ascii="Times New Roman" w:eastAsia="Courier New" w:hAnsi="Times New Roman" w:cs="Times New Roman"/>
          <w:color w:val="000000" w:themeColor="text1"/>
        </w:rPr>
        <w:t>R</w:t>
      </w:r>
      <w:r w:rsidRPr="00D11827">
        <w:rPr>
          <w:rFonts w:ascii="Times New Roman" w:hAnsi="Times New Roman" w:cs="Times New Roman"/>
          <w:color w:val="000000" w:themeColor="text1"/>
        </w:rPr>
        <w:t xml:space="preserve"> package </w:t>
      </w:r>
      <w:r w:rsidRPr="00D11827">
        <w:rPr>
          <w:rFonts w:ascii="Times New Roman" w:eastAsia="Courier New" w:hAnsi="Times New Roman" w:cs="Times New Roman"/>
          <w:color w:val="000000" w:themeColor="text1"/>
        </w:rPr>
        <w:t>metafor</w:t>
      </w:r>
      <w:r w:rsidRPr="00D11827">
        <w:rPr>
          <w:rFonts w:ascii="Times New Roman" w:hAnsi="Times New Roman" w:cs="Times New Roman"/>
          <w:color w:val="000000" w:themeColor="text1"/>
        </w:rPr>
        <w:t xml:space="preserve">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{"citationID":"ikIo3fP2","properties":{"formattedCitation":"(Viechtbauer 2010)","plainCitation":"(Viechtbauer 2010)","noteIndex":0},"citationItems":[{"id":8000,"uris":["http://zotero.org/users/11476620/items/WHR8CI3Q"],"itemData":{"id":8000,"type":"article-journal","container-title":"Journal of Statistical Software","DOI":"10.18637/jss.v036.i03","ISSN":"1548-7660","issue":"3","journalAbbreviation":"J. Stat. Soft.","language":"en","source":"DOI.org (Crossref)","title":"Conducting Meta-Analyses in &lt;i&gt;R&lt;/i&gt; with the &lt;b&gt;metafor&lt;/b&gt; Package","URL":"http://www.jstatsoft.org/v36/i03/","volume":"36","author":[{"family":"Viechtbauer","given":"Wolfgang"}],"accessed":{"date-parts":[["2025",6,26]]},"issued":{"date-parts":[["2010"]]}}}],"schema":"https://github.com/citation-style-language/schema/raw/master/csl-citation.json"} </w:instrText>
      </w:r>
      <w:r w:rsidRPr="00D11827">
        <w:rPr>
          <w:rFonts w:ascii="Times New Roman" w:hAnsi="Times New Roman" w:cs="Times New Roman"/>
          <w:color w:val="000000" w:themeColor="text1"/>
        </w:rPr>
        <w:fldChar w:fldCharType="separate"/>
      </w:r>
      <w:r w:rsidR="00E21B60">
        <w:rPr>
          <w:rFonts w:ascii="Times New Roman" w:hAnsi="Times New Roman" w:cs="Times New Roman"/>
          <w:color w:val="000000" w:themeColor="text1"/>
        </w:rPr>
        <w:t>(Viechtbauer 2010)</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This allowed us to propagate uncertainty in the individual home-ranges estimated into our downstream analyses.</w:t>
      </w:r>
    </w:p>
    <w:p w14:paraId="7CD6AA49" w14:textId="77777777" w:rsidR="003D4EB1" w:rsidRPr="00D11827" w:rsidRDefault="003D4EB1" w:rsidP="00D11827">
      <w:pPr>
        <w:spacing w:after="60" w:line="480" w:lineRule="auto"/>
        <w:rPr>
          <w:rFonts w:ascii="Times New Roman" w:hAnsi="Times New Roman" w:cs="Times New Roman"/>
          <w:color w:val="000000" w:themeColor="text1"/>
        </w:rPr>
      </w:pPr>
    </w:p>
    <w:p w14:paraId="524F9B6B" w14:textId="22A30D0D" w:rsidR="003D4EB1" w:rsidRPr="00D11827" w:rsidRDefault="00EB0E99" w:rsidP="00D11827">
      <w:pPr>
        <w:pStyle w:val="Heading3"/>
        <w:spacing w:line="480" w:lineRule="auto"/>
        <w:jc w:val="left"/>
        <w:rPr>
          <w:rFonts w:ascii="Times New Roman" w:hAnsi="Times New Roman" w:cs="Times New Roman"/>
          <w:color w:val="000000" w:themeColor="text1"/>
          <w:sz w:val="24"/>
          <w:szCs w:val="24"/>
        </w:rPr>
      </w:pPr>
      <w:bookmarkStart w:id="8" w:name="_fnwz2uo55bj8" w:colFirst="0" w:colLast="0"/>
      <w:bookmarkEnd w:id="8"/>
      <w:r>
        <w:rPr>
          <w:rFonts w:ascii="Times New Roman" w:hAnsi="Times New Roman" w:cs="Times New Roman"/>
          <w:color w:val="000000" w:themeColor="text1"/>
          <w:sz w:val="24"/>
          <w:szCs w:val="24"/>
        </w:rPr>
        <w:t xml:space="preserve">2.3.3 </w:t>
      </w:r>
      <w:r w:rsidRPr="00D11827">
        <w:rPr>
          <w:rFonts w:ascii="Times New Roman" w:hAnsi="Times New Roman" w:cs="Times New Roman"/>
          <w:color w:val="000000" w:themeColor="text1"/>
          <w:sz w:val="24"/>
          <w:szCs w:val="24"/>
        </w:rPr>
        <w:t>Home-range overlap and social behaviour</w:t>
      </w:r>
    </w:p>
    <w:p w14:paraId="530A3D19" w14:textId="43A95B26" w:rsidR="003D4EB1" w:rsidRPr="00D11827" w:rsidRDefault="00000000" w:rsidP="00D11827">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 xml:space="preserve">Because we were also interested in describing these jaguars’ social behaviour, we estimated the amount of home-range overlap between all pairs of individuals (i.e., dyads) that were monitored at the same time via the Bhattacharyya coefficient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{"citationID":"ZJfTAcFQ","properties":{"formattedCitation":"(Winner {\\i{}et al.} 2018)","plainCitation":"(Winner et al. 2018)","noteIndex":0},"citationItems":[{"id":8002,"uris":["http://zotero.org/users/11476620/items/IA56N3K6"],"itemData":{"id":8002,"type":"article-journal","abstract":"Abstract\n            \n              \n                \n                  Despite the routine nature of estimating overlapping space use in ecological research, to date no formal inferential framework for home range overlap has been available to ecologists. Part of this issue is due to the inherent difficulty of comparing the estimated home ranges that underpin overlap across individuals, studies, sites, species, and times. As overlap is calculated conditionally on a pair of home range estimates, biases in these estimates will propagate into biases in overlap estimates. Further compounding the issue of comparability in home range estimators is the historical lack of confidence intervals on overlap estimates. This means that it is not currently possible to determine if a set of overlap values is statistically different from one another.\n                \n                \n                  As a solution, we develop the first rigorous inferential framework for home range overlap. Our framework is based on the autocorrelated‐Kernel density estimation (AKDE) family of home range estimators, which correct for biases due to autocorrelation, small effective sample size, and irregular sampling in time. Collectively, these advances allow AKDE estimates to validly be compared even when sampling strategies differ. We then couple the AKDE estimates with a novel bias‐corrected Bhattacharyya coefficient (BC) to quantify overlap. Finally, we propagate uncertainty in the AKDE estimates through to overlap and thus are able to put confidence intervals on the BC point estimate.\n                \n                \n                  \n                    Using simulated data, we demonstrate how our inferential framework provides accurate overlap estimates, and reasonable coverage of the true overlap, even at small sample sizes. When applied to empirical data, we found that building an interaction network for Mongolian gazelles\n                    Procapra gutturosa\n                    based on all possible ties, vs. only those ties with statistical support, substantially influenced the network’s properties and any potential biological inferences derived from it.\n                  \n                \n                \n                  \n                    Our inferential framework permits researchers to calculate overlap estimates that can validly be compared across studies, sites, species, and times, and test whether observed differences are statistically meaningful. This method is available via the\n                    R\n                    package\n                    ctmm\n                    .","container-title":"Methods in Ecology and Evolution","DOI":"10.1111/2041-210X.13027","ISSN":"2041-210X, 2041-210X","issue":"7","journalAbbreviation":"Methods Ecol Evol","language":"en","page":"1679-1691","source":"DOI.org (Crossref)","title":"Statistical inference for home range overlap","volume":"9","author":[{"family":"Winner","given":"Kevin"},{"family":"Noonan","given":"Michael J."},{"family":"Fleming","given":"Christen H."},{"family":"Olson","given":"Kirk A."},{"family":"Mueller","given":"Thomas"},{"family":"Sheldon","given":"Daniel"},{"family":"Calabrese","given":"Justin M."}],"editor":[{"family":"Scales","given":"Kylie"}],"issued":{"date-parts":[["2018",7]]}}}],"schema":"https://github.com/citation-style-language/schema/raw/master/csl-citation.json"}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(Winner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2018)</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To </w:t>
      </w:r>
      <w:r w:rsidRPr="00D11827">
        <w:rPr>
          <w:rFonts w:ascii="Times New Roman" w:hAnsi="Times New Roman" w:cs="Times New Roman"/>
          <w:color w:val="000000" w:themeColor="text1"/>
        </w:rPr>
        <w:lastRenderedPageBreak/>
        <w:t xml:space="preserve">determine whether sex was a factor underpinning the degree of pairwise overlap, we fit a generalized linear mixed model (GLMM) with a beta distribution and a logit link function to the home-range overlap estimates, with pairwise sex as a predictor variable via the </w:t>
      </w:r>
      <w:r w:rsidRPr="00D11827">
        <w:rPr>
          <w:rFonts w:ascii="Times New Roman" w:eastAsia="Courier New" w:hAnsi="Times New Roman" w:cs="Times New Roman"/>
          <w:color w:val="000000" w:themeColor="text1"/>
        </w:rPr>
        <w:t>R</w:t>
      </w:r>
      <w:r w:rsidRPr="00D11827">
        <w:rPr>
          <w:rFonts w:ascii="Times New Roman" w:hAnsi="Times New Roman" w:cs="Times New Roman"/>
          <w:color w:val="000000" w:themeColor="text1"/>
        </w:rPr>
        <w:t xml:space="preserve"> package </w:t>
      </w:r>
      <w:r w:rsidRPr="00D11827">
        <w:rPr>
          <w:rFonts w:ascii="Times New Roman" w:eastAsia="Courier New" w:hAnsi="Times New Roman" w:cs="Times New Roman"/>
          <w:color w:val="000000" w:themeColor="text1"/>
        </w:rPr>
        <w:t>mgcv</w:t>
      </w:r>
      <w:r w:rsidRPr="00D11827">
        <w:rPr>
          <w:rFonts w:ascii="Times New Roman" w:hAnsi="Times New Roman" w:cs="Times New Roman"/>
          <w:color w:val="000000" w:themeColor="text1"/>
        </w:rPr>
        <w:t xml:space="preserve">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{"citationID":"JeVtcuXA","properties":{"formattedCitation":"(Wood 2017)","plainCitation":"(Wood 2017)","noteIndex":0},"citationItems":[{"id":8003,"uris":["http://zotero.org/users/11476620/items/6ZX6K6LY"],"itemData":{"id":8003,"type":"book","DOI":"10.1201/9781315370279","edition":"2","ISBN":"978-1-315-37027-9","language":"en","publisher":"Chapman and Hall/CRC","source":"DOI.org (Crossref)","title":"Generalized Additive Models: An Introduction with R","title-short":"Generalized Additive Models","URL":"https://www.taylorfrancis.com/books/9781498728348","author":[{"family":"Wood","given":"Simon N."}],"accessed":{"date-parts":[["2025",6,26]]},"issued":{"date-parts":[["2017",5,18]]}}}],"schema":"https://github.com/citation-style-language/schema/raw/master/csl-citation.json"} </w:instrText>
      </w:r>
      <w:r w:rsidRPr="00D11827">
        <w:rPr>
          <w:rFonts w:ascii="Times New Roman" w:hAnsi="Times New Roman" w:cs="Times New Roman"/>
          <w:color w:val="000000" w:themeColor="text1"/>
        </w:rPr>
        <w:fldChar w:fldCharType="separate"/>
      </w:r>
      <w:r w:rsidR="00E21B60">
        <w:rPr>
          <w:rFonts w:ascii="Times New Roman" w:hAnsi="Times New Roman" w:cs="Times New Roman"/>
          <w:color w:val="000000" w:themeColor="text1"/>
        </w:rPr>
        <w:t>(Wood 2017)</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This model was then compared to a similar model that excluded the pairwise sex predictor variable using a generalised likelihood ratio test.</w:t>
      </w:r>
    </w:p>
    <w:p w14:paraId="4AD6D122" w14:textId="58719DD4" w:rsidR="003D4EB1" w:rsidRPr="00D11827" w:rsidRDefault="00000000" w:rsidP="00D11827">
      <w:pPr>
        <w:spacing w:after="60" w:line="480" w:lineRule="auto"/>
        <w:ind w:firstLine="720"/>
        <w:rPr>
          <w:rFonts w:ascii="Times New Roman" w:hAnsi="Times New Roman" w:cs="Times New Roman"/>
          <w:color w:val="000000" w:themeColor="text1"/>
        </w:rPr>
      </w:pPr>
      <w:r w:rsidRPr="00D11827">
        <w:rPr>
          <w:rFonts w:ascii="Times New Roman" w:hAnsi="Times New Roman" w:cs="Times New Roman"/>
          <w:color w:val="000000" w:themeColor="text1"/>
        </w:rPr>
        <w:t xml:space="preserve">While home-range overlap describes patterns in spatial structuring, it does not directly indicate whether individuals are likely to be in the same place at the same time (Winner et al., 2018). We therefore also estimated a proximity ratio for all dyads via the </w:t>
      </w:r>
      <w:r w:rsidRPr="00D11827">
        <w:rPr>
          <w:rFonts w:ascii="Times New Roman" w:eastAsia="Courier New" w:hAnsi="Times New Roman" w:cs="Times New Roman"/>
          <w:color w:val="000000" w:themeColor="text1"/>
        </w:rPr>
        <w:t>ctmm</w:t>
      </w:r>
      <w:r w:rsidRPr="00D11827">
        <w:rPr>
          <w:rFonts w:ascii="Times New Roman" w:hAnsi="Times New Roman" w:cs="Times New Roman"/>
          <w:color w:val="000000" w:themeColor="text1"/>
        </w:rPr>
        <w:t xml:space="preserve"> function </w:t>
      </w:r>
      <w:r w:rsidRPr="00D11827">
        <w:rPr>
          <w:rFonts w:ascii="Times New Roman" w:eastAsia="Courier New" w:hAnsi="Times New Roman" w:cs="Times New Roman"/>
          <w:color w:val="000000" w:themeColor="text1"/>
        </w:rPr>
        <w:t>proximity</w:t>
      </w:r>
      <w:r w:rsidRPr="00D11827">
        <w:rPr>
          <w:rFonts w:ascii="Times New Roman" w:hAnsi="Times New Roman" w:cs="Times New Roman"/>
          <w:color w:val="000000" w:themeColor="text1"/>
        </w:rPr>
        <w:t xml:space="preserve">, whereby a proximity ratio of 1 is consistent with independent movement; values &gt;1 indicate individuals are further apart on average than expected for independent movement and vice versa for values &lt;1 (see also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{"citationID":"cjNmnYmQ","properties":{"formattedCitation":"(Chhen {\\i{}et al.} 2024)","plainCitation":"(Chhen et al. 2024)","noteIndex":0},"citationItems":[{"id":8004,"uris":["http://zotero.org/users/11476620/items/UW89D9Z5"],"itemData":{"id":8004,"type":"article-journal","abstract":"Abstract\n            \n              Movement is a key component of an animal's life history. While there are numerous factors that influence movement, there is an inherent link between a species' social ecology and its movement ecology. Despite this inherent relationship, the socio‐spatial ecology of many species remains unknown, hampering ecological theory and conservation alike. Here, we use fine‐scale GPS location data and continuous‐time stochastic processes to study the socio‐spatial ecology of 23 giant anteaters (\n              Myrmecophaga tridactyla\n              ) in the Brazilian Cerrado. We found that individuals occupied stable home ranges with a mean area of 5.45 km\n              2\n              with males having significantly larger home ranges than females. The average amount of home‐range overlap was low (0.20,\n              n\n               = 121 dyads), with no evidence that giant anteater home ranges were structured based on territorial, mate‐guarding, or other social behaviour. We also identified a total of 2774 encounter events. Interestingly, both female–male and male–male dyads had significantly more encounters than female–female dyads, with two pronounced seasonal peaks in female–male encounters. Though encounters occurred frequently, associations between dyads were generally weak and there was little evidence of any correlated movement (mean amount of total correlation = 0.01). Collectively, these findings suggest giant anteaters are a solitary and largely asocial species that readily share space with conspecifics. Despite their present capacity to share space, the combined pressures of being condensed into smaller areas and decreased food availability due to increased pesticide use may cause behavioural changes radiating throughout the population. Our study provides insight into heretofore unknown aspects of the socio‐spatial ecology of this iconic, but understudied species, as well as crucial information for proactive area‐based management. Ultimately, these findings contribute towards sustainable development while potentially maintaining the ecological integrity of giant anteaters and their habitats.\n            \n          , \n            Resumo\n            \n              O movimento é um componente‐chave da história de vida de um animal. Embora existam numerosos fatores que influenciam o movimento, existe uma ligação inerente entre a ecologia social de uma espécie e a sua ecologia do movimento. Apesar desta relação, a ecologia socio‐espacial de muitas espécies permanece desconhecida, dificultando tanto o desenvolvimento da teoria ecológica como da conservação. Aqui, usamos dados de escala fina provenientes de localizações GPS e processos estocásticos em tempo contínuo para estudar a ecologia socio‐espacial de 23 tamanduás‐bandeira (\n              Myrmecophaga tridactyla\n              ) no Cerrado brasileiro. Descobrimos que os indivíduos ocupavam áreas de vida estáveis, com uma área de vida média de 5,45 km\n              2\n              , sendo que machos têm áreas de vida significativamente maiores do que as fêmeas. O valor médio de sobreposição de áreas de vida foi baixo (0,20; n = 121 díades), sem nenhuma evidência de que as áreas de vida dos tamanduás‐bandeira fossem estruturadas com base em comportamentos territoriais, de guarda de parceiros ou outros comportamentos sociais. Também identificamos um total de 2.774 eventos de encontro. Curiosamente, tanto os pares fêmea‐macho como macho‐macho tiveram significativamente mais encontros do que os de fêmea‐fêmea, com dois picos sazonais pronunciados em encontros fêmea‐macho. Embora os encontros ocorressem frequentemente, as associações entre os pares eram geralmente fracas e havia pouca evidência de qualquer movimento correlacionado (valor médio da correlação total = 0,01). Coletivamente, essas descobertas sugerem que os tamanduás‐bandeira são uma espécie solitária e em grande parte associal que podem prontamente compartilhar espaço com coespecíficos. Apesar de sua atual capacidade de partilhar espaço, as pressões combinadas da alta densidade de tamanduás‐bandeira concentrada em áreas pequenas e da diminuição da disponibilidade de recursos alimentares devido ao aumento do uso de pesticidas podem provocar mudanças comportamentais que se irradiam por toda a população. Nosso estudo fornece percepções para aspectos até então desconhecidos da ecologia socioespacial desta espécie icônica, mas pouco estudada, bem como informações cruciais para um manejo baseado em área que seja proativo. Em última análise, estas descobertas contribuem para o desenvolvimento sustentável, ao mesmo tempo que potencialmente podem manter a integridade ecológica dos tamanduás‐bandeira e dos seus habitats.","container-title":"Journal of Zoology","DOI":"10.1111/jzo.13195","ISSN":"0952-8369, 1469-7998","issue":"1","journalAbbreviation":"Journal of Zoology","language":"en","page":"50-62","source":"DOI.org (Crossref)","title":"The socio‐spatial ecology of giant anteaters in the Brazilian Cerrado","volume":"324","author":[{"family":"Chhen","given":"A."},{"family":"Bertassoni","given":"A."},{"family":"Desbiez","given":"A. L. J."},{"family":"Noonan","given":"M. J"}],"issued":{"date-parts":[["2024",9]]}}}],"schema":"https://github.com/citation-style-language/schema/raw/master/csl-citation.json"}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(Chhen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2024)</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For each dyad we also estimated the Euclidean distance using the </w:t>
      </w:r>
      <w:r w:rsidRPr="00D11827">
        <w:rPr>
          <w:rFonts w:ascii="Times New Roman" w:eastAsia="Courier New" w:hAnsi="Times New Roman" w:cs="Times New Roman"/>
          <w:color w:val="000000" w:themeColor="text1"/>
        </w:rPr>
        <w:t>ctmm</w:t>
      </w:r>
      <w:r w:rsidRPr="00D11827">
        <w:rPr>
          <w:rFonts w:ascii="Times New Roman" w:hAnsi="Times New Roman" w:cs="Times New Roman"/>
          <w:color w:val="000000" w:themeColor="text1"/>
        </w:rPr>
        <w:t xml:space="preserve"> function </w:t>
      </w:r>
      <w:r w:rsidRPr="00D11827">
        <w:rPr>
          <w:rFonts w:ascii="Times New Roman" w:eastAsia="Courier New" w:hAnsi="Times New Roman" w:cs="Times New Roman"/>
          <w:color w:val="000000" w:themeColor="text1"/>
        </w:rPr>
        <w:t>distances</w:t>
      </w:r>
      <w:r w:rsidRPr="00D11827">
        <w:rPr>
          <w:rFonts w:ascii="Times New Roman" w:hAnsi="Times New Roman" w:cs="Times New Roman"/>
          <w:color w:val="000000" w:themeColor="text1"/>
        </w:rPr>
        <w:t>, from which we estimated the number of encounter events using a 100 m distance threshold.</w:t>
      </w:r>
    </w:p>
    <w:p w14:paraId="2E21D228" w14:textId="77777777" w:rsidR="003D4EB1" w:rsidRPr="00D11827" w:rsidRDefault="003D4EB1" w:rsidP="00D11827">
      <w:pPr>
        <w:spacing w:after="60" w:line="480" w:lineRule="auto"/>
        <w:rPr>
          <w:rFonts w:ascii="Times New Roman" w:hAnsi="Times New Roman" w:cs="Times New Roman"/>
          <w:color w:val="000000" w:themeColor="text1"/>
        </w:rPr>
      </w:pPr>
    </w:p>
    <w:p w14:paraId="628802F9" w14:textId="1118F1EB" w:rsidR="003D4EB1" w:rsidRPr="00D11827" w:rsidRDefault="00EB0E99" w:rsidP="00D11827">
      <w:pPr>
        <w:pStyle w:val="Heading3"/>
        <w:spacing w:line="480" w:lineRule="auto"/>
        <w:jc w:val="left"/>
        <w:rPr>
          <w:rFonts w:ascii="Times New Roman" w:hAnsi="Times New Roman" w:cs="Times New Roman"/>
          <w:color w:val="000000" w:themeColor="text1"/>
          <w:sz w:val="24"/>
          <w:szCs w:val="24"/>
        </w:rPr>
      </w:pPr>
      <w:bookmarkStart w:id="9" w:name="_bybp1mjklgcx" w:colFirst="0" w:colLast="0"/>
      <w:bookmarkEnd w:id="9"/>
      <w:r>
        <w:rPr>
          <w:rFonts w:ascii="Times New Roman" w:hAnsi="Times New Roman" w:cs="Times New Roman"/>
          <w:color w:val="000000" w:themeColor="text1"/>
          <w:sz w:val="24"/>
          <w:szCs w:val="24"/>
        </w:rPr>
        <w:t xml:space="preserve">2.3.4 </w:t>
      </w:r>
      <w:r w:rsidRPr="00D11827">
        <w:rPr>
          <w:rFonts w:ascii="Times New Roman" w:hAnsi="Times New Roman" w:cs="Times New Roman"/>
          <w:color w:val="000000" w:themeColor="text1"/>
          <w:sz w:val="24"/>
          <w:szCs w:val="24"/>
        </w:rPr>
        <w:t>Movement speed and activity patterns</w:t>
      </w:r>
    </w:p>
    <w:p w14:paraId="16E6FE60" w14:textId="5C635F19" w:rsidR="003D4EB1" w:rsidRPr="00D11827" w:rsidRDefault="00000000" w:rsidP="00D11827">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 xml:space="preserve">In order to investigate the activity and movement patterns of jaguars on Maracá, we estimated each animal’s mean daily movement speed (in km/day) as well as the instantaneous movement speed (in m/s) at each of the sampled locations using continuous-time speed and distance (CTSD) estimation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{"citationID":"520b8QwE","properties":{"formattedCitation":"(Noonan, Fleming, {\\i{}et al.} 2019)","plainCitation":"(Noonan, Fleming, et al. 2019)","noteIndex":0},"citationItems":[{"id":2418,"uris":["http://zotero.org/users/11476620/items/LYD7NDAV"],"itemData":{"id":2418,"type":"article-journal","container-title":"Movement Ecology","DOI":"10.1186/s40462-019-0177-1","ISSN":"2051-3933","issue":"1","page":"35","title":"Scale-insensitive estimation of speed and distance traveled from animal tracking data","volume":"7","author":[{"family":"Noonan","given":"Michael J."},{"family":"Fleming","given":"Christen H."},{"family":"Akre","given":"Thomas S."},{"family":"Drescher-Lehman","given":"Jonathan"},{"family":"Gurarie","given":"Eliezer"},{"family":"Harrison","given":"Autumn-Lynn"},{"family":"Kays","given":"Roland"},{"family":"Calabrese","given":"Justin M."}],"issued":{"date-parts":[["2019",12,15]]}}}],"schema":"https://github.com/citation-style-language/schema/raw/master/csl-citation.json"}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(Noonan, Fleming,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2019)</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To test for a difference in average movement speed between sexes, we again used the meta-regression methods implemented in </w:t>
      </w:r>
      <w:r w:rsidRPr="00D11827">
        <w:rPr>
          <w:rFonts w:ascii="Times New Roman" w:eastAsia="Courier New" w:hAnsi="Times New Roman" w:cs="Times New Roman"/>
          <w:color w:val="000000" w:themeColor="text1"/>
        </w:rPr>
        <w:t>ctmm</w:t>
      </w:r>
      <w:r w:rsidRPr="00D11827">
        <w:rPr>
          <w:rFonts w:ascii="Times New Roman" w:hAnsi="Times New Roman" w:cs="Times New Roman"/>
          <w:color w:val="000000" w:themeColor="text1"/>
        </w:rPr>
        <w:t xml:space="preserve">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{"citationID":"A7NUQqFk","properties":{"formattedCitation":"(Fleming {\\i{}et al.} 2022)","plainCitation":"(Fleming et al. 2022)","noteIndex":0},"citationItems":[{"id":7998,"uris":["http://zotero.org/users/11476620/items/PIY46SM4"],"itemData":{"id":7998,"type":"article-journal","abstract":"Abstract\n            \n              \n                \n                  Home‐range estimates are a common product of animal tracking data, as each range represents the area needed by a given individual. Population‐level inference of home‐range areas—where multiple individual home ranges are considered to be sampled from a population—is also important to evaluate changes over time, space or covariates such as habitat quality or fragmentation, and for comparative analyses of species averages. Population‐level home‐range parameters have traditionally been estimated by first assuming that the input tracking data were sampled independently when calculating home ranges via conventional kernel density estimation (KDE) or minimal convex polygon (MCP) methods, and then assuming that those individual home ranges were measured exactly when calculating the population‐level estimates. This conventional approach does not account for the temporal autocorrelation that is inherent in modern tracking data, nor for the uncertainties of each individual home‐range estimate, which are often large and heterogeneous.\n                \n                \n                  Here, we introduce a statistically and computationally efficient framework for the population‐level analysis of home‐range areas, based on autocorrelated kernel density estimation (AKDE), that can account for variable temporal autocorrelation and estimation uncertainty.\n                \n                \n                  \n                    We apply our method to empirical examples on lowland tapir\n                    Tapirus terrestris\n                    , kinkajou\n                    Potos flavus\n                    , white‐nosed coati\n                    Nasua narica\n                    , white‐faced capuchin monkey\n                    Cebus capucinus\n                    and spider monkey\n                    Ateles geoffroyi\n                    , and quantify differences between species, environments and sexes.\n                  \n                \n                \n                  Our approach allows researchers to more accurately compare different populations with different movement behaviours or sampling schedules while retaining statistical precision and power when individual home‐range uncertainties vary. Finally, we emphasize the estimation of effect sizes when comparing populations, rather than mere significance tests.","container-title":"Methods in Ecology and Evolution","DOI":"10.1111/2041-210X.13815","ISSN":"2041-210X, 2041-210X","issue":"5","journalAbbreviation":"Methods Ecol Evol","language":"en","page":"1027-1041","source":"DOI.org (Crossref)","title":"Population‐level inference for home‐range areas","volume":"13","author":[{"family":"Fleming","given":"Christen H."},{"family":"Deznabi","given":"Iman"},{"family":"Alavi","given":"Shauhin"},{"family":"Crofoot","given":"Margaret C."},{"family":"Hirsch","given":"Ben T."},{"family":"Medici","given":"E. Patricia"},{"family":"Noonan","given":"Michael J."},{"family":"Kays","given":"Roland"},{"family":"Fagan","given":"William F."},{"family":"Sheldon","given":"Daniel"},{"family":"Calabrese","given":"Justin M."}],"issued":{"date-parts":[["2022",5]]}}}],"schema":"https://github.com/citation-style-language/schema/raw/master/csl-citation.json"}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(Fleming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2022)</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We then used a pair of GLMs with Tweedie distributions and log link functions to test for correlations between movement speed and both body weight, and age.</w:t>
      </w:r>
    </w:p>
    <w:p w14:paraId="36B95C47" w14:textId="7009FC15" w:rsidR="003D4EB1" w:rsidRPr="00D11827" w:rsidRDefault="00000000" w:rsidP="00D11827">
      <w:pPr>
        <w:spacing w:after="60" w:line="480" w:lineRule="auto"/>
        <w:ind w:firstLine="720"/>
        <w:rPr>
          <w:rFonts w:ascii="Times New Roman" w:hAnsi="Times New Roman" w:cs="Times New Roman"/>
          <w:color w:val="000000" w:themeColor="text1"/>
        </w:rPr>
      </w:pPr>
      <w:r w:rsidRPr="00D11827">
        <w:rPr>
          <w:rFonts w:ascii="Times New Roman" w:hAnsi="Times New Roman" w:cs="Times New Roman"/>
          <w:color w:val="000000" w:themeColor="text1"/>
        </w:rPr>
        <w:t xml:space="preserve"> To study patterns of activity, we applied k-means clustering with three centers on the instantaneous speed estimates to identify a minimum speed threshold at which a jaguar could </w:t>
      </w:r>
      <w:r w:rsidRPr="00D11827">
        <w:rPr>
          <w:rFonts w:ascii="Times New Roman" w:hAnsi="Times New Roman" w:cs="Times New Roman"/>
          <w:color w:val="000000" w:themeColor="text1"/>
        </w:rPr>
        <w:lastRenderedPageBreak/>
        <w:t>be classified as resting. Based on this analysis, any location with an estimated movement speed &lt;1.5x10</w:t>
      </w:r>
      <w:r w:rsidRPr="00D11827">
        <w:rPr>
          <w:rFonts w:ascii="Times New Roman" w:hAnsi="Times New Roman" w:cs="Times New Roman"/>
          <w:color w:val="000000" w:themeColor="text1"/>
          <w:vertAlign w:val="superscript"/>
        </w:rPr>
        <w:t>-5</w:t>
      </w:r>
      <w:r w:rsidRPr="00D11827">
        <w:rPr>
          <w:rFonts w:ascii="Times New Roman" w:hAnsi="Times New Roman" w:cs="Times New Roman"/>
          <w:color w:val="000000" w:themeColor="text1"/>
        </w:rPr>
        <w:t>m/s was subsequently classified as “resting”, whereas locations with speeds &gt;1.5x10</w:t>
      </w:r>
      <w:r w:rsidRPr="00D11827">
        <w:rPr>
          <w:rFonts w:ascii="Times New Roman" w:hAnsi="Times New Roman" w:cs="Times New Roman"/>
          <w:color w:val="000000" w:themeColor="text1"/>
          <w:vertAlign w:val="superscript"/>
        </w:rPr>
        <w:t>-5</w:t>
      </w:r>
      <w:r w:rsidRPr="00D11827">
        <w:rPr>
          <w:rFonts w:ascii="Times New Roman" w:hAnsi="Times New Roman" w:cs="Times New Roman"/>
          <w:color w:val="000000" w:themeColor="text1"/>
        </w:rPr>
        <w:t>m/s were classified as “active”. We also identified the land class at each location using the 2023 MapBiomas land classification rasters (</w:t>
      </w:r>
      <w:hyperlink r:id="rId10">
        <w:r w:rsidR="003D4EB1" w:rsidRPr="00D11827">
          <w:rPr>
            <w:rFonts w:ascii="Times New Roman" w:hAnsi="Times New Roman" w:cs="Times New Roman"/>
            <w:color w:val="000000" w:themeColor="text1"/>
            <w:u w:val="single"/>
          </w:rPr>
          <w:t>http://mapbiomas.org</w:t>
        </w:r>
      </w:hyperlink>
      <w:r w:rsidRPr="00D11827">
        <w:rPr>
          <w:rFonts w:ascii="Times New Roman" w:hAnsi="Times New Roman" w:cs="Times New Roman"/>
          <w:color w:val="000000" w:themeColor="text1"/>
        </w:rPr>
        <w:t xml:space="preserve">) and the methods implemented in the </w:t>
      </w:r>
      <w:r w:rsidRPr="00D11827">
        <w:rPr>
          <w:rFonts w:ascii="Times New Roman" w:eastAsia="Courier New" w:hAnsi="Times New Roman" w:cs="Times New Roman"/>
          <w:color w:val="000000" w:themeColor="text1"/>
        </w:rPr>
        <w:t>R</w:t>
      </w:r>
      <w:r w:rsidRPr="00D11827">
        <w:rPr>
          <w:rFonts w:ascii="Times New Roman" w:hAnsi="Times New Roman" w:cs="Times New Roman"/>
          <w:color w:val="000000" w:themeColor="text1"/>
        </w:rPr>
        <w:t xml:space="preserve"> package </w:t>
      </w:r>
      <w:r w:rsidRPr="00D11827">
        <w:rPr>
          <w:rFonts w:ascii="Times New Roman" w:eastAsia="Courier New" w:hAnsi="Times New Roman" w:cs="Times New Roman"/>
          <w:color w:val="000000" w:themeColor="text1"/>
        </w:rPr>
        <w:t>terra</w:t>
      </w:r>
      <w:r w:rsidRPr="00D11827">
        <w:rPr>
          <w:rFonts w:ascii="Times New Roman" w:hAnsi="Times New Roman" w:cs="Times New Roman"/>
          <w:color w:val="000000" w:themeColor="text1"/>
        </w:rPr>
        <w:t xml:space="preserve">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{"citationID":"fupA6uq1","properties":{"formattedCitation":"(Hijmans 2020)","plainCitation":"(Hijmans 2020)","noteIndex":0},"citationItems":[{"id":8005,"uris":["http://zotero.org/users/11476620/items/DZGLFW33"],"itemData":{"id":8005,"type":"dataset","abstract":"Methods for spatial data analysis with vector (points, lines, polygons) and raster (grid) data. Methods for vector data include geometric operations such as intersect and buffer. Raster methods include local, focal, global, zonal and geometric operations. The predict and interpolate methods facilitate the use of regression type (interpolation, machine learning) models for spatial prediction, including with satellite remote sensing data. Processing of very large files is supported. See the manual and tutorials on &lt;https://rspatial.org/&gt; to get started. 'terra' replaces the 'raster' package ('terra' can do more, and it is faster and easier to use).","DOI":"10.32614/CRAN.package.terra","language":"en","note":"Institution: Comprehensive R Archive Network\npage: 1.8-54","source":"DOI.org (Crossref)","title":"terra: Spatial Data Analysis","title-short":"terra","URL":"https://CRAN.R-project.org/package=terra","author":[{"family":"Hijmans","given":"Robert J."}],"accessed":{"date-parts":[["2025",6,26]]},"issued":{"date-parts":[["2020",3,20]]}}}],"schema":"https://github.com/citation-style-language/schema/raw/master/csl-citation.json"} </w:instrText>
      </w:r>
      <w:r w:rsidRPr="00D11827">
        <w:rPr>
          <w:rFonts w:ascii="Times New Roman" w:hAnsi="Times New Roman" w:cs="Times New Roman"/>
          <w:color w:val="000000" w:themeColor="text1"/>
        </w:rPr>
        <w:fldChar w:fldCharType="separate"/>
      </w:r>
      <w:r w:rsidR="00E21B60">
        <w:rPr>
          <w:rFonts w:ascii="Times New Roman" w:hAnsi="Times New Roman" w:cs="Times New Roman"/>
          <w:color w:val="000000" w:themeColor="text1"/>
        </w:rPr>
        <w:t>(Hijmans 2020)</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To study how jaguars’ activity patterns differed between habitats, we used a hierarchical GLM with a binomial distribution and logit link to predict how active vs. resting (i.e., 0,1) behaviour differed as a function of habitat. For this model, individual ID was included as a random intercept. A subsequent GLM was then fitted to all of the instantaneous speed estimates where an animal was classified as active, with habitat as the predictor variable. Here we used a Tweedie distribution and log link, and again included individual ID as a random intercept. Finally, to study jaguars’ circadian rhythms, we used a hierarchical GAM with a binomial distribution, logit link, and individual ID as a random intercept to predict active vs. resting behaviour as a function of time of day. Here time of day was modelled using a cyclical cubic regression spline, and we also tested for an interaction between sex and time of day via a constrained factor smooth.</w:t>
      </w:r>
    </w:p>
    <w:p w14:paraId="0015DA80" w14:textId="77777777" w:rsidR="003D4EB1" w:rsidRPr="00D11827" w:rsidRDefault="003D4EB1" w:rsidP="00D11827">
      <w:pPr>
        <w:spacing w:after="60" w:line="480" w:lineRule="auto"/>
        <w:rPr>
          <w:rFonts w:ascii="Times New Roman" w:hAnsi="Times New Roman" w:cs="Times New Roman"/>
          <w:color w:val="000000" w:themeColor="text1"/>
        </w:rPr>
      </w:pPr>
    </w:p>
    <w:p w14:paraId="616C17A5" w14:textId="1E9B539F" w:rsidR="003D4EB1" w:rsidRPr="00D11827" w:rsidRDefault="00EB0E99" w:rsidP="00D11827">
      <w:pPr>
        <w:pStyle w:val="Heading3"/>
        <w:spacing w:line="480" w:lineRule="auto"/>
        <w:jc w:val="left"/>
        <w:rPr>
          <w:rFonts w:ascii="Times New Roman" w:hAnsi="Times New Roman" w:cs="Times New Roman"/>
          <w:color w:val="000000" w:themeColor="text1"/>
          <w:sz w:val="24"/>
          <w:szCs w:val="24"/>
        </w:rPr>
      </w:pPr>
      <w:bookmarkStart w:id="10" w:name="_1lyk7agkpvwg" w:colFirst="0" w:colLast="0"/>
      <w:bookmarkEnd w:id="10"/>
      <w:r>
        <w:rPr>
          <w:rFonts w:ascii="Times New Roman" w:hAnsi="Times New Roman" w:cs="Times New Roman"/>
          <w:color w:val="000000" w:themeColor="text1"/>
          <w:sz w:val="24"/>
          <w:szCs w:val="24"/>
        </w:rPr>
        <w:t xml:space="preserve">2.3.5 </w:t>
      </w:r>
      <w:r w:rsidRPr="00D11827">
        <w:rPr>
          <w:rFonts w:ascii="Times New Roman" w:hAnsi="Times New Roman" w:cs="Times New Roman"/>
          <w:color w:val="000000" w:themeColor="text1"/>
          <w:sz w:val="24"/>
          <w:szCs w:val="24"/>
        </w:rPr>
        <w:t>Habitat use and selection</w:t>
      </w:r>
    </w:p>
    <w:p w14:paraId="657EF128" w14:textId="2A144AA6" w:rsidR="004B5243" w:rsidRPr="00D11827" w:rsidRDefault="00000000" w:rsidP="00D11827">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 xml:space="preserve">To study patterns of habitat selection, we fit a hierarchical Poisson point process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{"citationID":"1YUNM7ui","properties":{"formattedCitation":"(Baddeley {\\i{}et al.} 2016)","plainCitation":"(Baddeley et al. 2016)","noteIndex":0},"citationItems":[{"id":8009,"uris":["http://zotero.org/users/11476620/items/79GLGAYG"],"itemData":{"id":8009,"type":"book","call-number":"QA278.2 .B335 2016","collection-title":"Champan &amp; Hall/CRC Interdisciplinary Statistics Series","event-place":"Boca Raton ; London ; New York","ISBN":"978-1-4822-1020-0","note":"OCLC: ocn933300812","number-of-pages":"810","publisher":"CRC Press, Taylor &amp; Francis Group","publisher-place":"Boca Raton ; London ; New York","source":"Library of Congress ISBN","title":"Spatial point patterns: methodology and applications with R","title-short":"Spatial point patterns","author":[{"family":"Baddeley","given":"Adrian"},{"family":"Rubak","given":"Ege"},{"family":"Turner","given":"Rolf"}],"issued":{"date-parts":[["2016"]]}}}],"schema":"https://github.com/citation-style-language/schema/raw/master/csl-citation.json"}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(Baddeley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2016)</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using the bam function from the </w:t>
      </w:r>
      <w:r w:rsidRPr="00D11827">
        <w:rPr>
          <w:rFonts w:ascii="Times New Roman" w:eastAsia="Courier New" w:hAnsi="Times New Roman" w:cs="Times New Roman"/>
          <w:color w:val="000000" w:themeColor="text1"/>
        </w:rPr>
        <w:t>mgcv</w:t>
      </w:r>
      <w:r w:rsidRPr="00D11827">
        <w:rPr>
          <w:rFonts w:ascii="Times New Roman" w:hAnsi="Times New Roman" w:cs="Times New Roman"/>
          <w:color w:val="000000" w:themeColor="text1"/>
        </w:rPr>
        <w:t xml:space="preserve"> package. We opted for a GAM owing to its ability to capture the complex, non-linear patterns of habitat use that animals often exhibit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{"citationID":"k9mIMjLM","properties":{"formattedCitation":"(Klappstein {\\i{}et al.} 2024)","plainCitation":"(Klappstein et al. 2024)","noteIndex":0},"citationItems":[{"id":8010,"uris":["http://zotero.org/users/11476620/items/63D9UJEL"],"itemData":{"id":8010,"type":"article-journal","abstract":"Abstract\n            \n              \n                \n                  Step selection functions (SSFs) are used to jointly describe animal movement patterns and habitat preferences. Recent work has extended this framework to model inter‐individual differences, account for unexplained structure in animals' space use and capture temporally varying patterns of movement and habitat selection.\n                \n                \n                  \n                    In this paper, we formulate SSFs with penalised smooths (similar to generalised additive models) to unify new and existing extensions, and conveniently implement the models in the popular, open‐source\n                    mgcv\n                    R package.\n                  \n                \n                \n                  We explore non‐linear patterns of movement and habitat selection, and use the equivalence between penalised smoothing splines and random effects to implement individual‐level and spatial random effects. This framework can also be used to fit varying‐coefficient models to account for temporally or spatially heterogeneous patterns of selection (e.g. resulting from behavioural variation), or any other non‐linear interactions between drivers of the animal's movement decisions.\n                \n                \n                  \n                    We provide the necessary technical details to understand several key special cases of smooths and their implementation in\n                    mgcv\n                    , showcase the ecological relevance using two illustrative examples and provide R code to facilitate the adoption of these methods. This paper offers a broad overview of how smooth effects can be applied to increase the flexibility and biological realism of SSFs.","container-title":"Methods in Ecology and Evolution","DOI":"10.1111/2041-210X.14367","ISSN":"2041-210X, 2041-210X","issue":"8","journalAbbreviation":"Methods Ecol Evol","language":"en","page":"1332-1346","source":"DOI.org (Crossref)","title":"Step selection functions with non‐linear and random effects","volume":"15","author":[{"family":"Klappstein","given":"Natasha J."},{"family":"Michelot","given":"Théo"},{"family":"Fieberg","given":"John"},{"family":"Pedersen","given":"Eric J."},{"family":"Mills Flemming","given":"Joanna"}],"issued":{"date-parts":[["2024",8]]}}}],"schema":"https://github.com/citation-style-language/schema/raw/master/csl-citation.json"}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(Klappstein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2024)</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Fitting a Poisson point process in this way required information on the sampling window and quadrature points. Because these animals lived on a pair of adjacent islands, we used the coastlines to define the sampling window. The quadrature points serve to approximate the likelihood function of a Poisson point process through </w:t>
      </w:r>
      <w:r w:rsidRPr="00D11827">
        <w:rPr>
          <w:rFonts w:ascii="Times New Roman" w:hAnsi="Times New Roman" w:cs="Times New Roman"/>
          <w:color w:val="000000" w:themeColor="text1"/>
        </w:rPr>
        <w:lastRenderedPageBreak/>
        <w:t xml:space="preserve">Monte-Carlo Markov chain-based integration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{"citationID":"seLY5fbT","properties":{"formattedCitation":"(Fithian &amp; Hastie 2013, Baddeley {\\i{}et al.} 2016)","plainCitation":"(Fithian &amp; Hastie 2013, Baddeley et al. 2016)","noteIndex":0},"citationItems":[{"id":8009,"uris":["http://zotero.org/users/11476620/items/79GLGAYG"],"itemData":{"id":8009,"type":"book","call-number":"QA278.2 .B335 2016","collection-title":"Champan &amp; Hall/CRC Interdisciplinary Statistics Series","event-place":"Boca Raton ; London ; New York","ISBN":"978-1-4822-1020-0","note":"OCLC: ocn933300812","number-of-pages":"810","publisher":"CRC Press, Taylor &amp; Francis Group","publisher-place":"Boca Raton ; London ; New York","source":"Library of Congress ISBN","title":"Spatial point patterns: methodology and applications with R","title-short":"Spatial point patterns","author":[{"family":"Baddeley","given":"Adrian"},{"family":"Rubak","given":"Ege"},{"family":"Turner","given":"Rolf"}],"issued":{"date-parts":[["2016"]]}},"label":"page"},{"id":8011,"uris":["http://zotero.org/users/11476620/items/IPWUDCVR"],"itemData":{"id":8011,"type":"article-journal","container-title":"The Annals of Applied Statistics","DOI":"10.1214/13-AOAS667","ISSN":"1932-6157","issue":"4","journalAbbreviation":"Ann. Appl. Stat.","source":"DOI.org (Crossref)","title":"Finite-sample equivalence in statistical models for presence-only data","URL":"https://projecteuclid.org/journals/annals-of-applied-statistics/volume-7/issue-4/Finite-sample-equivalence-in-statistical-models-for-presence-only-data/10.1214/13-AOAS667.full","volume":"7","author":[{"family":"Fithian","given":"William"},{"family":"Hastie","given":"Trevor"}],"accessed":{"date-parts":[["2025",6,26]]},"issued":{"date-parts":[["2013",12,1]]}},"label":"page"}],"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(Fithian &amp; Hastie 2013, Baddeley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2016)</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We therefore sampled locations uniformly throughout the islands, which resulted in a location:quadrature ratio of ca. 78:1. Following Alston et al. (2023)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{"citationID":"7xY5lJOI","properties":{"formattedCitation":"(Alston {\\i{}et al.} 2023)","plainCitation":"(Alston et al. 2023)","noteIndex":0},"citationItems":[{"id":8013,"uris":["http://zotero.org/users/11476620/items/7JZEVLBY"],"itemData":{"id":8013,"type":"article-journal","abstract":"Abstract\n            \n              \n                \n                  Resource selection functions (RSFs) are among the most commonly used statistical tools in both basic and applied animal ecology. They are typically parameterized using animal tracking data, and advances in animal tracking technology have led to increasing levels of autocorrelation between locations in such data sets. Because RSFs assume that data are independent and identically distributed, such autocorrelation can cause misleadingly narrow confidence intervals and biased parameter estimates.\n                \n                \n                  Data thinning, generalized estimating equations and step selection functions (SSFs) have been suggested as techniques for mitigating the statistical problems posed by autocorrelation, but these approaches have notable limitations that include statistical inefficiency, unclear or arbitrary targets for adequate levels of statistical independence, constraints in input data and (in the case of SSFs) scale‐dependent inference. To remedy these problems, we introduce a method for likelihood weighting of animal locations to mitigate the negative consequences of autocorrelation on RSFs.\n                \n                \n                  In this study, we demonstrate that this method weights each observed location in an animal's movement track according to its level of non‐independence, expanding confidence intervals and reducing bias that can arise when there are missing data in the movement track.\n                \n                \n                  \n                    Ecologists and conservation biologists can use this method to improve the quality of inferences derived from RSFs. We also provide a complete, annotated analytical workflow to help new users apply our method to their own animal tracking data using the\n                    ctmm R\n                    package.","container-title":"Methods in Ecology and Evolution","DOI":"10.1111/2041-210X.14025","ISSN":"2041-210X, 2041-210X","issue":"2","journalAbbreviation":"Methods Ecol Evol","language":"en","page":"643-654","source":"DOI.org (Crossref)","title":"Mitigating pseudoreplication and bias in resource selection functions with autocorrelation‐informed weighting","volume":"14","author":[{"family":"Alston","given":"Jesse M."},{"family":"Fleming","given":"Christen H."},{"family":"Kays","given":"Roland"},{"family":"Streicher","given":"Jarryd P."},{"family":"Downs","given":"Colleen T."},{"family":"Ramesh","given":"Tharmalingam"},{"family":"Reineking","given":"Björn"},{"family":"Calabrese","given":"Justin M."}],"issued":{"date-parts":[["2023",2]]}}}],"schema":"https://github.com/citation-style-language/schema/raw/master/csl-citation.json"}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(Alston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2023)</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we used autocorrelation-informed weights obtained from the individual home-range estimates to correct for autocorrelation-induced bias. The final model was of the form:</w:t>
      </w:r>
      <m:oMath>
        <m:eqArr>
          <m:eqArrPr>
            <m:maxDist m:val="1"/>
            <m:ctrlPr>
              <w:rPr>
                <w:rFonts w:ascii="Cambria Math" w:hAnsi="Cambria Math" w:cs="Times New Roman"/>
                <w:i/>
                <w:iCs/>
                <w:color w:val="000000" w:themeColor="text1"/>
                <w:sz w:val="21"/>
                <w:szCs w:val="21"/>
              </w:rPr>
            </m:ctrlPr>
          </m:eqArrPr>
          <m:e>
            <m:r>
              <w:rPr>
                <w:rFonts w:ascii="Cambria Math" w:hAnsi="Cambria Math" w:cs="Times New Roman"/>
                <w:color w:val="000000" w:themeColor="text1"/>
                <w:sz w:val="21"/>
                <w:szCs w:val="21"/>
              </w:rPr>
              <m:t>detection ~ s</m:t>
            </m:r>
            <m:d>
              <m:dPr>
                <m:ctrlPr>
                  <w:rPr>
                    <w:rFonts w:ascii="Cambria Math" w:hAnsi="Cambria Math" w:cs="Times New Roman"/>
                    <w:i/>
                    <w:iCs/>
                    <w:color w:val="000000" w:themeColor="text1"/>
                    <w:sz w:val="21"/>
                    <w:szCs w:val="21"/>
                  </w:rPr>
                </m:ctrlPr>
              </m:dPr>
              <m:e>
                <m:r>
                  <w:rPr>
                    <w:rFonts w:ascii="Cambria Math" w:hAnsi="Cambria Math" w:cs="Times New Roman"/>
                    <w:color w:val="000000" w:themeColor="text1"/>
                    <w:sz w:val="21"/>
                    <w:szCs w:val="21"/>
                  </w:rPr>
                  <m:t>ID, bs=</m:t>
                </m:r>
                <m:sPre>
                  <m:sPrePr>
                    <m:ctrlPr>
                      <w:rPr>
                        <w:rFonts w:ascii="Cambria Math" w:hAnsi="Cambria Math" w:cs="Times New Roman"/>
                        <w:i/>
                        <w:iCs/>
                        <w:color w:val="000000" w:themeColor="text1"/>
                        <w:sz w:val="21"/>
                        <w:szCs w:val="21"/>
                      </w:rPr>
                    </m:ctrlPr>
                  </m:sPrePr>
                  <m:sub/>
                  <m:sup>
                    <m:r>
                      <w:rPr>
                        <w:rFonts w:ascii="Cambria Math" w:hAnsi="Cambria Math" w:cs="Times New Roman"/>
                        <w:color w:val="000000" w:themeColor="text1"/>
                        <w:sz w:val="21"/>
                        <w:szCs w:val="21"/>
                      </w:rPr>
                      <m:t>'</m:t>
                    </m:r>
                  </m:sup>
                  <m:e>
                    <m:r>
                      <w:rPr>
                        <w:rFonts w:ascii="Cambria Math" w:hAnsi="Cambria Math" w:cs="Times New Roman"/>
                        <w:color w:val="000000" w:themeColor="text1"/>
                        <w:sz w:val="21"/>
                        <w:szCs w:val="21"/>
                      </w:rPr>
                      <m:t>r</m:t>
                    </m:r>
                  </m:e>
                </m:sPre>
                <m:sSup>
                  <m:sSupPr>
                    <m:ctrlPr>
                      <w:rPr>
                        <w:rFonts w:ascii="Cambria Math" w:hAnsi="Cambria Math" w:cs="Times New Roman"/>
                        <w:i/>
                        <w:iCs/>
                        <w:color w:val="000000" w:themeColor="text1"/>
                        <w:sz w:val="21"/>
                        <w:szCs w:val="21"/>
                      </w:rPr>
                    </m:ctrlPr>
                  </m:sSupPr>
                  <m:e>
                    <m:r>
                      <w:rPr>
                        <w:rFonts w:ascii="Cambria Math" w:hAnsi="Cambria Math" w:cs="Times New Roman"/>
                        <w:color w:val="000000" w:themeColor="text1"/>
                        <w:sz w:val="21"/>
                        <w:szCs w:val="21"/>
                      </w:rPr>
                      <m:t>e</m:t>
                    </m:r>
                  </m:e>
                  <m:sup>
                    <m:r>
                      <w:rPr>
                        <w:rFonts w:ascii="Cambria Math" w:hAnsi="Cambria Math" w:cs="Times New Roman"/>
                        <w:color w:val="000000" w:themeColor="text1"/>
                        <w:sz w:val="21"/>
                        <w:szCs w:val="21"/>
                      </w:rPr>
                      <m:t>'</m:t>
                    </m:r>
                  </m:sup>
                </m:sSup>
              </m:e>
            </m:d>
            <m:r>
              <w:rPr>
                <w:rFonts w:ascii="Cambria Math" w:hAnsi="Cambria Math" w:cs="Times New Roman"/>
                <w:color w:val="000000" w:themeColor="text1"/>
                <w:sz w:val="21"/>
                <w:szCs w:val="21"/>
              </w:rPr>
              <m:t>+  s</m:t>
            </m:r>
            <m:d>
              <m:dPr>
                <m:ctrlPr>
                  <w:rPr>
                    <w:rFonts w:ascii="Cambria Math" w:hAnsi="Cambria Math" w:cs="Times New Roman"/>
                    <w:i/>
                    <w:iCs/>
                    <w:color w:val="000000" w:themeColor="text1"/>
                    <w:sz w:val="21"/>
                    <w:szCs w:val="21"/>
                  </w:rPr>
                </m:ctrlPr>
              </m:dPr>
              <m:e>
                <m:r>
                  <w:rPr>
                    <w:rFonts w:ascii="Cambria Math" w:hAnsi="Cambria Math" w:cs="Times New Roman"/>
                    <w:color w:val="000000" w:themeColor="text1"/>
                    <w:sz w:val="21"/>
                    <w:szCs w:val="21"/>
                  </w:rPr>
                  <m:t>log</m:t>
                </m:r>
                <m:d>
                  <m:dPr>
                    <m:ctrlPr>
                      <w:rPr>
                        <w:rFonts w:ascii="Cambria Math" w:hAnsi="Cambria Math" w:cs="Times New Roman"/>
                        <w:i/>
                        <w:iCs/>
                        <w:color w:val="000000" w:themeColor="text1"/>
                        <w:sz w:val="21"/>
                        <w:szCs w:val="21"/>
                      </w:rPr>
                    </m:ctrlPr>
                  </m:dPr>
                  <m:e>
                    <m:r>
                      <w:rPr>
                        <w:rFonts w:ascii="Cambria Math" w:hAnsi="Cambria Math" w:cs="Times New Roman"/>
                        <w:color w:val="000000" w:themeColor="text1"/>
                        <w:sz w:val="21"/>
                        <w:szCs w:val="21"/>
                      </w:rPr>
                      <m:t>dis</m:t>
                    </m:r>
                    <m:sSub>
                      <m:sSubPr>
                        <m:ctrlPr>
                          <w:rPr>
                            <w:rFonts w:ascii="Cambria Math" w:hAnsi="Cambria Math" w:cs="Times New Roman"/>
                            <w:i/>
                            <w:iCs/>
                            <w:color w:val="000000" w:themeColor="text1"/>
                            <w:sz w:val="21"/>
                            <w:szCs w:val="21"/>
                          </w:rPr>
                        </m:ctrlPr>
                      </m:sSubPr>
                      <m:e>
                        <m:r>
                          <w:rPr>
                            <w:rFonts w:ascii="Cambria Math" w:hAnsi="Cambria Math" w:cs="Times New Roman"/>
                            <w:color w:val="000000" w:themeColor="text1"/>
                            <w:sz w:val="21"/>
                            <w:szCs w:val="21"/>
                          </w:rPr>
                          <m:t>t</m:t>
                        </m:r>
                      </m:e>
                      <m:sub>
                        <m:r>
                          <w:rPr>
                            <w:rFonts w:ascii="Cambria Math" w:hAnsi="Cambria Math" w:cs="Times New Roman"/>
                            <w:color w:val="000000" w:themeColor="text1"/>
                            <w:sz w:val="21"/>
                            <w:szCs w:val="21"/>
                          </w:rPr>
                          <m:t>t</m:t>
                        </m:r>
                        <m:sSub>
                          <m:sSubPr>
                            <m:ctrlPr>
                              <w:rPr>
                                <w:rFonts w:ascii="Cambria Math" w:hAnsi="Cambria Math" w:cs="Times New Roman"/>
                                <w:i/>
                                <w:iCs/>
                                <w:color w:val="000000" w:themeColor="text1"/>
                                <w:sz w:val="21"/>
                                <w:szCs w:val="21"/>
                              </w:rPr>
                            </m:ctrlPr>
                          </m:sSubPr>
                          <m:e>
                            <m:r>
                              <w:rPr>
                                <w:rFonts w:ascii="Cambria Math" w:hAnsi="Cambria Math" w:cs="Times New Roman"/>
                                <w:color w:val="000000" w:themeColor="text1"/>
                                <w:sz w:val="21"/>
                                <w:szCs w:val="21"/>
                              </w:rPr>
                              <m:t>o</m:t>
                            </m:r>
                          </m:e>
                          <m:sub>
                            <m:r>
                              <w:rPr>
                                <w:rFonts w:ascii="Cambria Math" w:hAnsi="Cambria Math" w:cs="Times New Roman"/>
                                <w:color w:val="000000" w:themeColor="text1"/>
                                <w:sz w:val="21"/>
                                <w:szCs w:val="21"/>
                              </w:rPr>
                              <m:t>coast</m:t>
                            </m:r>
                          </m:sub>
                        </m:sSub>
                      </m:sub>
                    </m:sSub>
                    <m:r>
                      <w:rPr>
                        <w:rFonts w:ascii="Cambria Math" w:hAnsi="Cambria Math" w:cs="Times New Roman"/>
                        <w:color w:val="000000" w:themeColor="text1"/>
                        <w:sz w:val="21"/>
                        <w:szCs w:val="21"/>
                      </w:rPr>
                      <m:t>+1</m:t>
                    </m:r>
                  </m:e>
                </m:d>
              </m:e>
            </m:d>
            <m:r>
              <w:rPr>
                <w:rFonts w:ascii="Cambria Math" w:hAnsi="Cambria Math" w:cs="Times New Roman"/>
                <w:color w:val="000000" w:themeColor="text1"/>
                <w:sz w:val="21"/>
                <w:szCs w:val="21"/>
              </w:rPr>
              <m:t>+  s</m:t>
            </m:r>
            <m:d>
              <m:dPr>
                <m:ctrlPr>
                  <w:rPr>
                    <w:rFonts w:ascii="Cambria Math" w:hAnsi="Cambria Math" w:cs="Times New Roman"/>
                    <w:i/>
                    <w:iCs/>
                    <w:color w:val="000000" w:themeColor="text1"/>
                    <w:sz w:val="21"/>
                    <w:szCs w:val="21"/>
                  </w:rPr>
                </m:ctrlPr>
              </m:dPr>
              <m:e>
                <m:r>
                  <w:rPr>
                    <w:rFonts w:ascii="Cambria Math" w:hAnsi="Cambria Math" w:cs="Times New Roman"/>
                    <w:color w:val="000000" w:themeColor="text1"/>
                    <w:sz w:val="21"/>
                    <w:szCs w:val="21"/>
                  </w:rPr>
                  <m:t>log</m:t>
                </m:r>
                <m:d>
                  <m:dPr>
                    <m:ctrlPr>
                      <w:rPr>
                        <w:rFonts w:ascii="Cambria Math" w:hAnsi="Cambria Math" w:cs="Times New Roman"/>
                        <w:i/>
                        <w:iCs/>
                        <w:color w:val="000000" w:themeColor="text1"/>
                        <w:sz w:val="21"/>
                        <w:szCs w:val="21"/>
                      </w:rPr>
                    </m:ctrlPr>
                  </m:dPr>
                  <m:e>
                    <m:r>
                      <w:rPr>
                        <w:rFonts w:ascii="Cambria Math" w:hAnsi="Cambria Math" w:cs="Times New Roman"/>
                        <w:color w:val="000000" w:themeColor="text1"/>
                        <w:sz w:val="21"/>
                        <w:szCs w:val="21"/>
                      </w:rPr>
                      <m:t>dis</m:t>
                    </m:r>
                    <m:sSub>
                      <m:sSubPr>
                        <m:ctrlPr>
                          <w:rPr>
                            <w:rFonts w:ascii="Cambria Math" w:hAnsi="Cambria Math" w:cs="Times New Roman"/>
                            <w:i/>
                            <w:iCs/>
                            <w:color w:val="000000" w:themeColor="text1"/>
                            <w:sz w:val="21"/>
                            <w:szCs w:val="21"/>
                          </w:rPr>
                        </m:ctrlPr>
                      </m:sSubPr>
                      <m:e>
                        <m:r>
                          <w:rPr>
                            <w:rFonts w:ascii="Cambria Math" w:hAnsi="Cambria Math" w:cs="Times New Roman"/>
                            <w:color w:val="000000" w:themeColor="text1"/>
                            <w:sz w:val="21"/>
                            <w:szCs w:val="21"/>
                          </w:rPr>
                          <m:t>t</m:t>
                        </m:r>
                      </m:e>
                      <m:sub>
                        <m:r>
                          <w:rPr>
                            <w:rFonts w:ascii="Cambria Math" w:hAnsi="Cambria Math" w:cs="Times New Roman"/>
                            <w:color w:val="000000" w:themeColor="text1"/>
                            <w:sz w:val="21"/>
                            <w:szCs w:val="21"/>
                          </w:rPr>
                          <m:t>t</m:t>
                        </m:r>
                        <m:sSub>
                          <m:sSubPr>
                            <m:ctrlPr>
                              <w:rPr>
                                <w:rFonts w:ascii="Cambria Math" w:hAnsi="Cambria Math" w:cs="Times New Roman"/>
                                <w:i/>
                                <w:iCs/>
                                <w:color w:val="000000" w:themeColor="text1"/>
                                <w:sz w:val="21"/>
                                <w:szCs w:val="21"/>
                              </w:rPr>
                            </m:ctrlPr>
                          </m:sSubPr>
                          <m:e>
                            <m:r>
                              <w:rPr>
                                <w:rFonts w:ascii="Cambria Math" w:hAnsi="Cambria Math" w:cs="Times New Roman"/>
                                <w:color w:val="000000" w:themeColor="text1"/>
                                <w:sz w:val="21"/>
                                <w:szCs w:val="21"/>
                              </w:rPr>
                              <m:t>o</m:t>
                            </m:r>
                          </m:e>
                          <m:sub>
                            <m:r>
                              <w:rPr>
                                <w:rFonts w:ascii="Cambria Math" w:hAnsi="Cambria Math" w:cs="Times New Roman"/>
                                <w:color w:val="000000" w:themeColor="text1"/>
                                <w:sz w:val="21"/>
                                <w:szCs w:val="21"/>
                              </w:rPr>
                              <m:t>coast</m:t>
                            </m:r>
                          </m:sub>
                        </m:sSub>
                      </m:sub>
                    </m:sSub>
                    <m:r>
                      <w:rPr>
                        <w:rFonts w:ascii="Cambria Math" w:hAnsi="Cambria Math" w:cs="Times New Roman"/>
                        <w:color w:val="000000" w:themeColor="text1"/>
                        <w:sz w:val="21"/>
                        <w:szCs w:val="21"/>
                      </w:rPr>
                      <m:t>+1</m:t>
                    </m:r>
                  </m:e>
                </m:d>
                <m:r>
                  <w:rPr>
                    <w:rFonts w:ascii="Cambria Math" w:hAnsi="Cambria Math" w:cs="Times New Roman"/>
                    <w:color w:val="000000" w:themeColor="text1"/>
                    <w:sz w:val="21"/>
                    <w:szCs w:val="21"/>
                  </w:rPr>
                  <m:t xml:space="preserve">,  forest,  bs = </m:t>
                </m:r>
                <m:r>
                  <m:rPr>
                    <m:nor/>
                  </m:rPr>
                  <w:rPr>
                    <w:rFonts w:ascii="Times New Roman" w:hAnsi="Times New Roman" w:cs="Times New Roman"/>
                    <w:iCs/>
                    <w:color w:val="000000" w:themeColor="text1"/>
                    <w:sz w:val="21"/>
                    <w:szCs w:val="21"/>
                  </w:rPr>
                  <m:t>sz</m:t>
                </m:r>
              </m:e>
            </m:d>
            <m:ctrlPr>
              <w:rPr>
                <w:rFonts w:ascii="Cambria Math" w:eastAsia="Cambria Math" w:hAnsi="Cambria Math" w:cs="Times New Roman"/>
                <w:i/>
                <w:iCs/>
                <w:color w:val="000000" w:themeColor="text1"/>
                <w:sz w:val="21"/>
                <w:szCs w:val="21"/>
              </w:rPr>
            </m:ctrlPr>
          </m:e>
          <m:e>
            <m:r>
              <w:rPr>
                <w:rFonts w:ascii="Cambria Math" w:hAnsi="Cambria Math" w:cs="Times New Roman"/>
                <w:color w:val="000000" w:themeColor="text1"/>
                <w:sz w:val="21"/>
                <w:szCs w:val="21"/>
              </w:rPr>
              <m:t>+ s</m:t>
            </m:r>
            <m:d>
              <m:dPr>
                <m:ctrlPr>
                  <w:rPr>
                    <w:rFonts w:ascii="Cambria Math" w:hAnsi="Cambria Math" w:cs="Times New Roman"/>
                    <w:i/>
                    <w:iCs/>
                    <w:color w:val="000000" w:themeColor="text1"/>
                    <w:sz w:val="21"/>
                    <w:szCs w:val="21"/>
                  </w:rPr>
                </m:ctrlPr>
              </m:dPr>
              <m:e>
                <m:r>
                  <w:rPr>
                    <w:rFonts w:ascii="Cambria Math" w:hAnsi="Cambria Math" w:cs="Times New Roman"/>
                    <w:color w:val="000000" w:themeColor="text1"/>
                    <w:sz w:val="21"/>
                    <w:szCs w:val="21"/>
                  </w:rPr>
                  <m:t>log</m:t>
                </m:r>
                <m:d>
                  <m:dPr>
                    <m:ctrlPr>
                      <w:rPr>
                        <w:rFonts w:ascii="Cambria Math" w:hAnsi="Cambria Math" w:cs="Times New Roman"/>
                        <w:i/>
                        <w:iCs/>
                        <w:color w:val="000000" w:themeColor="text1"/>
                        <w:sz w:val="21"/>
                        <w:szCs w:val="21"/>
                      </w:rPr>
                    </m:ctrlPr>
                  </m:dPr>
                  <m:e>
                    <m:r>
                      <w:rPr>
                        <w:rFonts w:ascii="Cambria Math" w:hAnsi="Cambria Math" w:cs="Times New Roman"/>
                        <w:color w:val="000000" w:themeColor="text1"/>
                        <w:sz w:val="21"/>
                        <w:szCs w:val="21"/>
                      </w:rPr>
                      <m:t>dis</m:t>
                    </m:r>
                    <m:sSub>
                      <m:sSubPr>
                        <m:ctrlPr>
                          <w:rPr>
                            <w:rFonts w:ascii="Cambria Math" w:hAnsi="Cambria Math" w:cs="Times New Roman"/>
                            <w:i/>
                            <w:iCs/>
                            <w:color w:val="000000" w:themeColor="text1"/>
                            <w:sz w:val="21"/>
                            <w:szCs w:val="21"/>
                          </w:rPr>
                        </m:ctrlPr>
                      </m:sSubPr>
                      <m:e>
                        <m:r>
                          <w:rPr>
                            <w:rFonts w:ascii="Cambria Math" w:hAnsi="Cambria Math" w:cs="Times New Roman"/>
                            <w:color w:val="000000" w:themeColor="text1"/>
                            <w:sz w:val="21"/>
                            <w:szCs w:val="21"/>
                          </w:rPr>
                          <m:t>t</m:t>
                        </m:r>
                      </m:e>
                      <m:sub>
                        <m:r>
                          <w:rPr>
                            <w:rFonts w:ascii="Cambria Math" w:hAnsi="Cambria Math" w:cs="Times New Roman"/>
                            <w:color w:val="000000" w:themeColor="text1"/>
                            <w:sz w:val="21"/>
                            <w:szCs w:val="21"/>
                          </w:rPr>
                          <m:t>t</m:t>
                        </m:r>
                        <m:sSub>
                          <m:sSubPr>
                            <m:ctrlPr>
                              <w:rPr>
                                <w:rFonts w:ascii="Cambria Math" w:hAnsi="Cambria Math" w:cs="Times New Roman"/>
                                <w:i/>
                                <w:iCs/>
                                <w:color w:val="000000" w:themeColor="text1"/>
                                <w:sz w:val="21"/>
                                <w:szCs w:val="21"/>
                              </w:rPr>
                            </m:ctrlPr>
                          </m:sSubPr>
                          <m:e>
                            <m:r>
                              <w:rPr>
                                <w:rFonts w:ascii="Cambria Math" w:hAnsi="Cambria Math" w:cs="Times New Roman"/>
                                <w:color w:val="000000" w:themeColor="text1"/>
                                <w:sz w:val="21"/>
                                <w:szCs w:val="21"/>
                              </w:rPr>
                              <m:t>o</m:t>
                            </m:r>
                          </m:e>
                          <m:sub>
                            <m:r>
                              <w:rPr>
                                <w:rFonts w:ascii="Cambria Math" w:hAnsi="Cambria Math" w:cs="Times New Roman"/>
                                <w:color w:val="000000" w:themeColor="text1"/>
                                <w:sz w:val="21"/>
                                <w:szCs w:val="21"/>
                              </w:rPr>
                              <m:t>coast</m:t>
                            </m:r>
                          </m:sub>
                        </m:sSub>
                      </m:sub>
                    </m:sSub>
                    <m:r>
                      <w:rPr>
                        <w:rFonts w:ascii="Cambria Math" w:hAnsi="Cambria Math" w:cs="Times New Roman"/>
                        <w:color w:val="000000" w:themeColor="text1"/>
                        <w:sz w:val="21"/>
                        <w:szCs w:val="21"/>
                      </w:rPr>
                      <m:t>+1</m:t>
                    </m:r>
                  </m:e>
                </m:d>
                <m:r>
                  <w:rPr>
                    <w:rFonts w:ascii="Cambria Math" w:hAnsi="Cambria Math" w:cs="Times New Roman"/>
                    <w:color w:val="000000" w:themeColor="text1"/>
                    <w:sz w:val="21"/>
                    <w:szCs w:val="21"/>
                  </w:rPr>
                  <m:t xml:space="preserve">,  mangrove,  bs = </m:t>
                </m:r>
                <m:r>
                  <m:rPr>
                    <m:nor/>
                  </m:rPr>
                  <w:rPr>
                    <w:rFonts w:ascii="Times New Roman" w:hAnsi="Times New Roman" w:cs="Times New Roman"/>
                    <w:iCs/>
                    <w:color w:val="000000" w:themeColor="text1"/>
                    <w:sz w:val="21"/>
                    <w:szCs w:val="21"/>
                  </w:rPr>
                  <m:t>sz</m:t>
                </m:r>
              </m:e>
            </m:d>
            <m:r>
              <w:rPr>
                <w:rFonts w:ascii="Cambria Math" w:hAnsi="Cambria Math" w:cs="Times New Roman"/>
                <w:color w:val="000000" w:themeColor="text1"/>
                <w:sz w:val="21"/>
                <w:szCs w:val="21"/>
              </w:rPr>
              <m:t>+ s</m:t>
            </m:r>
            <m:d>
              <m:dPr>
                <m:ctrlPr>
                  <w:rPr>
                    <w:rFonts w:ascii="Cambria Math" w:hAnsi="Cambria Math" w:cs="Times New Roman"/>
                    <w:i/>
                    <w:iCs/>
                    <w:color w:val="000000" w:themeColor="text1"/>
                    <w:sz w:val="21"/>
                    <w:szCs w:val="21"/>
                  </w:rPr>
                </m:ctrlPr>
              </m:dPr>
              <m:e>
                <m:r>
                  <w:rPr>
                    <w:rFonts w:ascii="Cambria Math" w:hAnsi="Cambria Math" w:cs="Times New Roman"/>
                    <w:color w:val="000000" w:themeColor="text1"/>
                    <w:sz w:val="21"/>
                    <w:szCs w:val="21"/>
                  </w:rPr>
                  <m:t>log</m:t>
                </m:r>
                <m:d>
                  <m:dPr>
                    <m:ctrlPr>
                      <w:rPr>
                        <w:rFonts w:ascii="Cambria Math" w:hAnsi="Cambria Math" w:cs="Times New Roman"/>
                        <w:i/>
                        <w:iCs/>
                        <w:color w:val="000000" w:themeColor="text1"/>
                        <w:sz w:val="21"/>
                        <w:szCs w:val="21"/>
                      </w:rPr>
                    </m:ctrlPr>
                  </m:dPr>
                  <m:e>
                    <m:r>
                      <w:rPr>
                        <w:rFonts w:ascii="Cambria Math" w:hAnsi="Cambria Math" w:cs="Times New Roman"/>
                        <w:color w:val="000000" w:themeColor="text1"/>
                        <w:sz w:val="21"/>
                        <w:szCs w:val="21"/>
                      </w:rPr>
                      <m:t>dis</m:t>
                    </m:r>
                    <m:sSub>
                      <m:sSubPr>
                        <m:ctrlPr>
                          <w:rPr>
                            <w:rFonts w:ascii="Cambria Math" w:hAnsi="Cambria Math" w:cs="Times New Roman"/>
                            <w:i/>
                            <w:iCs/>
                            <w:color w:val="000000" w:themeColor="text1"/>
                            <w:sz w:val="21"/>
                            <w:szCs w:val="21"/>
                          </w:rPr>
                        </m:ctrlPr>
                      </m:sSubPr>
                      <m:e>
                        <m:r>
                          <w:rPr>
                            <w:rFonts w:ascii="Cambria Math" w:hAnsi="Cambria Math" w:cs="Times New Roman"/>
                            <w:color w:val="000000" w:themeColor="text1"/>
                            <w:sz w:val="21"/>
                            <w:szCs w:val="21"/>
                          </w:rPr>
                          <m:t>t</m:t>
                        </m:r>
                      </m:e>
                      <m:sub>
                        <m:r>
                          <w:rPr>
                            <w:rFonts w:ascii="Cambria Math" w:hAnsi="Cambria Math" w:cs="Times New Roman"/>
                            <w:color w:val="000000" w:themeColor="text1"/>
                            <w:sz w:val="21"/>
                            <w:szCs w:val="21"/>
                          </w:rPr>
                          <m:t>t</m:t>
                        </m:r>
                        <m:sSub>
                          <m:sSubPr>
                            <m:ctrlPr>
                              <w:rPr>
                                <w:rFonts w:ascii="Cambria Math" w:hAnsi="Cambria Math" w:cs="Times New Roman"/>
                                <w:i/>
                                <w:iCs/>
                                <w:color w:val="000000" w:themeColor="text1"/>
                                <w:sz w:val="21"/>
                                <w:szCs w:val="21"/>
                              </w:rPr>
                            </m:ctrlPr>
                          </m:sSubPr>
                          <m:e>
                            <m:r>
                              <w:rPr>
                                <w:rFonts w:ascii="Cambria Math" w:hAnsi="Cambria Math" w:cs="Times New Roman"/>
                                <w:color w:val="000000" w:themeColor="text1"/>
                                <w:sz w:val="21"/>
                                <w:szCs w:val="21"/>
                              </w:rPr>
                              <m:t>o</m:t>
                            </m:r>
                          </m:e>
                          <m:sub>
                            <m:r>
                              <w:rPr>
                                <w:rFonts w:ascii="Cambria Math" w:hAnsi="Cambria Math" w:cs="Times New Roman"/>
                                <w:color w:val="000000" w:themeColor="text1"/>
                                <w:sz w:val="21"/>
                                <w:szCs w:val="21"/>
                              </w:rPr>
                              <m:t>coast</m:t>
                            </m:r>
                          </m:sub>
                        </m:sSub>
                      </m:sub>
                    </m:sSub>
                    <m:r>
                      <w:rPr>
                        <w:rFonts w:ascii="Cambria Math" w:hAnsi="Cambria Math" w:cs="Times New Roman"/>
                        <w:color w:val="000000" w:themeColor="text1"/>
                        <w:sz w:val="21"/>
                        <w:szCs w:val="21"/>
                      </w:rPr>
                      <m:t>+1</m:t>
                    </m:r>
                  </m:e>
                </m:d>
                <m:r>
                  <w:rPr>
                    <w:rFonts w:ascii="Cambria Math" w:hAnsi="Cambria Math" w:cs="Times New Roman"/>
                    <w:color w:val="000000" w:themeColor="text1"/>
                    <w:sz w:val="21"/>
                    <w:szCs w:val="21"/>
                  </w:rPr>
                  <m:t xml:space="preserve">,  wetland,  bs = </m:t>
                </m:r>
                <m:r>
                  <m:rPr>
                    <m:nor/>
                  </m:rPr>
                  <w:rPr>
                    <w:rFonts w:ascii="Times New Roman" w:hAnsi="Times New Roman" w:cs="Times New Roman"/>
                    <w:iCs/>
                    <w:color w:val="000000" w:themeColor="text1"/>
                    <w:sz w:val="21"/>
                    <w:szCs w:val="21"/>
                  </w:rPr>
                  <m:t>sz</m:t>
                </m:r>
              </m:e>
            </m:d>
            <m:ctrlPr>
              <w:rPr>
                <w:rFonts w:ascii="Cambria Math" w:eastAsia="Cambria Math" w:hAnsi="Cambria Math" w:cs="Times New Roman"/>
                <w:i/>
                <w:iCs/>
                <w:color w:val="000000" w:themeColor="text1"/>
                <w:sz w:val="21"/>
                <w:szCs w:val="21"/>
              </w:rPr>
            </m:ctrlPr>
          </m:e>
          <m:e>
            <m:r>
              <w:rPr>
                <w:rFonts w:ascii="Cambria Math" w:hAnsi="Cambria Math" w:cs="Times New Roman"/>
                <w:color w:val="000000" w:themeColor="text1"/>
                <w:sz w:val="21"/>
                <w:szCs w:val="21"/>
              </w:rPr>
              <m:t>+ s</m:t>
            </m:r>
            <m:d>
              <m:dPr>
                <m:ctrlPr>
                  <w:rPr>
                    <w:rFonts w:ascii="Cambria Math" w:hAnsi="Cambria Math" w:cs="Times New Roman"/>
                    <w:i/>
                    <w:iCs/>
                    <w:color w:val="000000" w:themeColor="text1"/>
                    <w:sz w:val="21"/>
                    <w:szCs w:val="21"/>
                  </w:rPr>
                </m:ctrlPr>
              </m:dPr>
              <m:e>
                <m:r>
                  <w:rPr>
                    <w:rFonts w:ascii="Cambria Math" w:hAnsi="Cambria Math" w:cs="Times New Roman"/>
                    <w:color w:val="000000" w:themeColor="text1"/>
                    <w:sz w:val="21"/>
                    <w:szCs w:val="21"/>
                  </w:rPr>
                  <m:t>log</m:t>
                </m:r>
                <m:d>
                  <m:dPr>
                    <m:ctrlPr>
                      <w:rPr>
                        <w:rFonts w:ascii="Cambria Math" w:hAnsi="Cambria Math" w:cs="Times New Roman"/>
                        <w:i/>
                        <w:iCs/>
                        <w:color w:val="000000" w:themeColor="text1"/>
                        <w:sz w:val="21"/>
                        <w:szCs w:val="21"/>
                      </w:rPr>
                    </m:ctrlPr>
                  </m:dPr>
                  <m:e>
                    <m:r>
                      <w:rPr>
                        <w:rFonts w:ascii="Cambria Math" w:hAnsi="Cambria Math" w:cs="Times New Roman"/>
                        <w:color w:val="000000" w:themeColor="text1"/>
                        <w:sz w:val="21"/>
                        <w:szCs w:val="21"/>
                      </w:rPr>
                      <m:t>dis</m:t>
                    </m:r>
                    <m:sSub>
                      <m:sSubPr>
                        <m:ctrlPr>
                          <w:rPr>
                            <w:rFonts w:ascii="Cambria Math" w:hAnsi="Cambria Math" w:cs="Times New Roman"/>
                            <w:i/>
                            <w:iCs/>
                            <w:color w:val="000000" w:themeColor="text1"/>
                            <w:sz w:val="21"/>
                            <w:szCs w:val="21"/>
                          </w:rPr>
                        </m:ctrlPr>
                      </m:sSubPr>
                      <m:e>
                        <m:r>
                          <w:rPr>
                            <w:rFonts w:ascii="Cambria Math" w:hAnsi="Cambria Math" w:cs="Times New Roman"/>
                            <w:color w:val="000000" w:themeColor="text1"/>
                            <w:sz w:val="21"/>
                            <w:szCs w:val="21"/>
                          </w:rPr>
                          <m:t>t</m:t>
                        </m:r>
                      </m:e>
                      <m:sub>
                        <m:r>
                          <w:rPr>
                            <w:rFonts w:ascii="Cambria Math" w:hAnsi="Cambria Math" w:cs="Times New Roman"/>
                            <w:color w:val="000000" w:themeColor="text1"/>
                            <w:sz w:val="21"/>
                            <w:szCs w:val="21"/>
                          </w:rPr>
                          <m:t>t</m:t>
                        </m:r>
                        <m:sSub>
                          <m:sSubPr>
                            <m:ctrlPr>
                              <w:rPr>
                                <w:rFonts w:ascii="Cambria Math" w:hAnsi="Cambria Math" w:cs="Times New Roman"/>
                                <w:i/>
                                <w:iCs/>
                                <w:color w:val="000000" w:themeColor="text1"/>
                                <w:sz w:val="21"/>
                                <w:szCs w:val="21"/>
                              </w:rPr>
                            </m:ctrlPr>
                          </m:sSubPr>
                          <m:e>
                            <m:r>
                              <w:rPr>
                                <w:rFonts w:ascii="Cambria Math" w:hAnsi="Cambria Math" w:cs="Times New Roman"/>
                                <w:color w:val="000000" w:themeColor="text1"/>
                                <w:sz w:val="21"/>
                                <w:szCs w:val="21"/>
                              </w:rPr>
                              <m:t>o</m:t>
                            </m:r>
                          </m:e>
                          <m:sub>
                            <m:r>
                              <w:rPr>
                                <w:rFonts w:ascii="Cambria Math" w:hAnsi="Cambria Math" w:cs="Times New Roman"/>
                                <w:color w:val="000000" w:themeColor="text1"/>
                                <w:sz w:val="21"/>
                                <w:szCs w:val="21"/>
                              </w:rPr>
                              <m:t>coast</m:t>
                            </m:r>
                          </m:sub>
                        </m:sSub>
                      </m:sub>
                    </m:sSub>
                    <m:r>
                      <w:rPr>
                        <w:rFonts w:ascii="Cambria Math" w:hAnsi="Cambria Math" w:cs="Times New Roman"/>
                        <w:color w:val="000000" w:themeColor="text1"/>
                        <w:sz w:val="21"/>
                        <w:szCs w:val="21"/>
                      </w:rPr>
                      <m:t>+1</m:t>
                    </m:r>
                  </m:e>
                </m:d>
                <m:r>
                  <w:rPr>
                    <w:rFonts w:ascii="Cambria Math" w:hAnsi="Cambria Math" w:cs="Times New Roman"/>
                    <w:color w:val="000000" w:themeColor="text1"/>
                    <w:sz w:val="21"/>
                    <w:szCs w:val="21"/>
                  </w:rPr>
                  <m:t xml:space="preserve">,  grassland,  bs = </m:t>
                </m:r>
                <m:r>
                  <m:rPr>
                    <m:nor/>
                  </m:rPr>
                  <w:rPr>
                    <w:rFonts w:ascii="Times New Roman" w:hAnsi="Times New Roman" w:cs="Times New Roman"/>
                    <w:iCs/>
                    <w:color w:val="000000" w:themeColor="text1"/>
                    <w:sz w:val="21"/>
                    <w:szCs w:val="21"/>
                  </w:rPr>
                  <m:t>sz</m:t>
                </m:r>
              </m:e>
            </m:d>
            <m:r>
              <w:rPr>
                <w:rFonts w:ascii="Cambria Math" w:hAnsi="Cambria Math" w:cs="Times New Roman"/>
                <w:color w:val="000000" w:themeColor="text1"/>
                <w:sz w:val="21"/>
                <w:szCs w:val="21"/>
              </w:rPr>
              <m:t>#(1)</m:t>
            </m:r>
          </m:e>
        </m:eqArr>
      </m:oMath>
    </w:p>
    <w:p w14:paraId="7F9971E1" w14:textId="741BB1BF" w:rsidR="003D4EB1" w:rsidRPr="00D11827" w:rsidRDefault="00000000" w:rsidP="00D11827">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where detection represents whether the point was used by a jaguar or not (0, 1), and dist_to_coast was the distance to the coast (in m).</w:t>
      </w:r>
    </w:p>
    <w:p w14:paraId="3CB2B4FB" w14:textId="2297FC26" w:rsidR="003D4EB1" w:rsidRPr="00D11827" w:rsidRDefault="00000000" w:rsidP="00D11827">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ab/>
        <w:t xml:space="preserve">Finally, as these animals were observed to spend a substantial portion of their time close to the coast, we explored whether their habitat use was influenced by the tide. For this analysis, hourly data on the ocean height (masl) directly offshore of Maracá-Jipioca Island were obtained from the Copernicus Global Ocean Physics Analysis and Forecast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{"citationID":"ty0zm6Bx","properties":{"formattedCitation":"(European Union-Copernicus Marine Service 2016)","plainCitation":"(European Union-Copernicus Marine Service 2016)","noteIndex":0},"citationItems":[{"id":8014,"uris":["http://zotero.org/users/11476620/items/QBNGLJCZ"],"itemData":{"id":8014,"type":"dataset","DOI":"10.48670/MOI-00016","language":"en","publisher":"Mercator Ocean International","source":"DOI.org (Datacite)","title":"Global Ocean 1/12° Physics Analysis and Forecast updated Daily","URL":"https://resources.marine.copernicus.eu/product-detail/GLOBAL_ANALYSISFORECAST_PHY_001_024/INFORMATION","author":[{"literal":"European Union-Copernicus Marine Service"}],"accessed":{"date-parts":[["2025",6,26]]},"issued":{"date-parts":[["2016"]]}}}],"schema":"https://github.com/citation-style-language/schema/raw/master/csl-citation.json"} </w:instrText>
      </w:r>
      <w:r w:rsidRPr="00D11827">
        <w:rPr>
          <w:rFonts w:ascii="Times New Roman" w:hAnsi="Times New Roman" w:cs="Times New Roman"/>
          <w:color w:val="000000" w:themeColor="text1"/>
        </w:rPr>
        <w:fldChar w:fldCharType="separate"/>
      </w:r>
      <w:r w:rsidR="00E21B60">
        <w:rPr>
          <w:rFonts w:ascii="Times New Roman" w:hAnsi="Times New Roman" w:cs="Times New Roman"/>
          <w:color w:val="000000" w:themeColor="text1"/>
        </w:rPr>
        <w:t>(European Union-Copernicus Marine Service 2016)</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We then used a GLM with a Tweedie distribution and log link function to assess whether individuals adjusted their distance to the coast based on the sea level.</w:t>
      </w:r>
    </w:p>
    <w:p w14:paraId="2ED5DEC5" w14:textId="2E015BCA" w:rsidR="003D4EB1" w:rsidRPr="00D11827" w:rsidRDefault="00000000" w:rsidP="00D11827">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ab/>
        <w:t xml:space="preserve">All analyses were performed in </w:t>
      </w:r>
      <w:r w:rsidRPr="00D11827">
        <w:rPr>
          <w:rFonts w:ascii="Times New Roman" w:eastAsia="Courier New" w:hAnsi="Times New Roman" w:cs="Times New Roman"/>
          <w:color w:val="000000" w:themeColor="text1"/>
        </w:rPr>
        <w:t>R</w:t>
      </w:r>
      <w:r w:rsidRPr="00D11827">
        <w:rPr>
          <w:rFonts w:ascii="Times New Roman" w:hAnsi="Times New Roman" w:cs="Times New Roman"/>
          <w:color w:val="000000" w:themeColor="text1"/>
        </w:rPr>
        <w:t xml:space="preserve"> (ver. 4.3.3; R Core Team)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{"citationID":"qJWIx8AA","properties":{"formattedCitation":"(R Core Team 2014)","plainCitation":"(R Core Team 2014)","noteIndex":0},"citationItems":[{"id":7422,"uris":["http://zotero.org/users/11476620/items/H4IW9RCE"],"itemData":{"id":7422,"type":"software","medium":"R","title":"R: A language and environment for statistical computing.","URL":"https://cran.r-project.org/doc/manuals/r-release/fullrefman.pdf","version":"4.5.2","author":[{"family":"R Core Team","given":""}],"issued":{"date-parts":[["2014"]]}}}],"schema":"https://github.com/citation-style-language/schema/raw/master/csl-citation.json"} </w:instrText>
      </w:r>
      <w:r w:rsidRPr="00D11827">
        <w:rPr>
          <w:rFonts w:ascii="Times New Roman" w:hAnsi="Times New Roman" w:cs="Times New Roman"/>
          <w:color w:val="000000" w:themeColor="text1"/>
        </w:rPr>
        <w:fldChar w:fldCharType="separate"/>
      </w:r>
      <w:r w:rsidR="00E21B60">
        <w:rPr>
          <w:rFonts w:ascii="Times New Roman" w:hAnsi="Times New Roman" w:cs="Times New Roman"/>
          <w:color w:val="000000" w:themeColor="text1"/>
        </w:rPr>
        <w:t>(R Core Team 2014)</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and the code required to reproduce all of the analyses is openly available in the GitHub repository at: </w:t>
      </w:r>
      <w:hyperlink r:id="rId11">
        <w:r w:rsidR="003D4EB1" w:rsidRPr="00D11827">
          <w:rPr>
            <w:rFonts w:ascii="Times New Roman" w:hAnsi="Times New Roman" w:cs="Times New Roman"/>
            <w:color w:val="000000" w:themeColor="text1"/>
            <w:u w:val="single"/>
          </w:rPr>
          <w:t>https://github.com/QuantitativeEcologyLab/maraca_jaguars</w:t>
        </w:r>
      </w:hyperlink>
      <w:r w:rsidRPr="00D11827">
        <w:rPr>
          <w:rFonts w:ascii="Times New Roman" w:hAnsi="Times New Roman" w:cs="Times New Roman"/>
          <w:color w:val="000000" w:themeColor="text1"/>
        </w:rPr>
        <w:t xml:space="preserve"> .</w:t>
      </w:r>
    </w:p>
    <w:p w14:paraId="5E2B9399" w14:textId="77777777" w:rsidR="004B5243" w:rsidRPr="00D11827" w:rsidRDefault="004B5243" w:rsidP="00D11827">
      <w:pPr>
        <w:pStyle w:val="Heading1"/>
        <w:rPr>
          <w:rFonts w:ascii="Times New Roman" w:hAnsi="Times New Roman" w:cs="Times New Roman"/>
          <w:color w:val="000000" w:themeColor="text1"/>
          <w:sz w:val="24"/>
          <w:szCs w:val="24"/>
        </w:rPr>
      </w:pPr>
      <w:bookmarkStart w:id="11" w:name="_ketu3s1ts0md" w:colFirst="0" w:colLast="0"/>
      <w:bookmarkEnd w:id="11"/>
    </w:p>
    <w:p w14:paraId="5DD00062" w14:textId="70BEE148" w:rsidR="003D4EB1" w:rsidRPr="00D11827" w:rsidRDefault="00EB0E99" w:rsidP="00EB0E99">
      <w:pPr>
        <w:pStyle w:val="Heading1"/>
        <w:numPr>
          <w:ilvl w:val="0"/>
          <w:numId w:val="1"/>
        </w:numPr>
        <w:rPr>
          <w:rFonts w:ascii="Times New Roman" w:hAnsi="Times New Roman" w:cs="Times New Roman"/>
          <w:color w:val="000000" w:themeColor="text1"/>
          <w:sz w:val="24"/>
          <w:szCs w:val="24"/>
        </w:rPr>
      </w:pPr>
      <w:r w:rsidRPr="00D11827">
        <w:rPr>
          <w:rFonts w:ascii="Times New Roman" w:hAnsi="Times New Roman" w:cs="Times New Roman"/>
          <w:color w:val="000000" w:themeColor="text1"/>
          <w:sz w:val="24"/>
          <w:szCs w:val="24"/>
        </w:rPr>
        <w:t>RESULTS</w:t>
      </w:r>
    </w:p>
    <w:p w14:paraId="0FABA11F" w14:textId="0C7D1824" w:rsidR="003D4EB1" w:rsidRPr="00EB0E99" w:rsidRDefault="00EB0E99" w:rsidP="00EB0E99">
      <w:pPr>
        <w:pStyle w:val="Heading2"/>
        <w:spacing w:line="480" w:lineRule="auto"/>
        <w:rPr>
          <w:rFonts w:ascii="Times New Roman" w:hAnsi="Times New Roman" w:cs="Times New Roman"/>
          <w:color w:val="000000" w:themeColor="text1"/>
          <w:sz w:val="24"/>
          <w:szCs w:val="24"/>
        </w:rPr>
      </w:pPr>
      <w:bookmarkStart w:id="12" w:name="_moue9gtlu7ke" w:colFirst="0" w:colLast="0"/>
      <w:bookmarkEnd w:id="12"/>
      <w:r>
        <w:rPr>
          <w:rFonts w:ascii="Times New Roman" w:hAnsi="Times New Roman" w:cs="Times New Roman"/>
          <w:color w:val="000000" w:themeColor="text1"/>
          <w:sz w:val="24"/>
          <w:szCs w:val="24"/>
        </w:rPr>
        <w:t xml:space="preserve">3.1 </w:t>
      </w:r>
      <w:r w:rsidRPr="00EB0E99">
        <w:rPr>
          <w:rFonts w:ascii="Times New Roman" w:hAnsi="Times New Roman" w:cs="Times New Roman"/>
          <w:color w:val="000000" w:themeColor="text1"/>
          <w:sz w:val="24"/>
          <w:szCs w:val="24"/>
        </w:rPr>
        <w:t>Home-range behaviour</w:t>
      </w:r>
    </w:p>
    <w:p w14:paraId="2735990C" w14:textId="6788F7E0" w:rsidR="003D4EB1" w:rsidRPr="00D11827" w:rsidRDefault="00000000" w:rsidP="00D11827">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The average home-range size of jaguars on Maracá-Jipioca Island was 51.9 km</w:t>
      </w:r>
      <w:r w:rsidRPr="00D11827">
        <w:rPr>
          <w:rFonts w:ascii="Times New Roman" w:hAnsi="Times New Roman" w:cs="Times New Roman"/>
          <w:color w:val="000000" w:themeColor="text1"/>
          <w:vertAlign w:val="superscript"/>
        </w:rPr>
        <w:t>2</w:t>
      </w:r>
      <w:r w:rsidRPr="00D11827">
        <w:rPr>
          <w:rFonts w:ascii="Times New Roman" w:hAnsi="Times New Roman" w:cs="Times New Roman"/>
          <w:color w:val="000000" w:themeColor="text1"/>
        </w:rPr>
        <w:t xml:space="preserve"> (95% CI: 27.7 – 88.6 km</w:t>
      </w:r>
      <w:r w:rsidRPr="00D11827">
        <w:rPr>
          <w:rFonts w:ascii="Times New Roman" w:hAnsi="Times New Roman" w:cs="Times New Roman"/>
          <w:color w:val="000000" w:themeColor="text1"/>
          <w:vertAlign w:val="superscript"/>
        </w:rPr>
        <w:t>2</w:t>
      </w:r>
      <w:r w:rsidRPr="00D11827">
        <w:rPr>
          <w:rFonts w:ascii="Times New Roman" w:hAnsi="Times New Roman" w:cs="Times New Roman"/>
          <w:color w:val="000000" w:themeColor="text1"/>
        </w:rPr>
        <w:t>), ranging from 16.8 km</w:t>
      </w:r>
      <w:r w:rsidRPr="00D11827">
        <w:rPr>
          <w:rFonts w:ascii="Times New Roman" w:hAnsi="Times New Roman" w:cs="Times New Roman"/>
          <w:color w:val="000000" w:themeColor="text1"/>
          <w:vertAlign w:val="superscript"/>
        </w:rPr>
        <w:t>2</w:t>
      </w:r>
      <w:r w:rsidRPr="00D11827">
        <w:rPr>
          <w:rFonts w:ascii="Times New Roman" w:hAnsi="Times New Roman" w:cs="Times New Roman"/>
          <w:color w:val="000000" w:themeColor="text1"/>
        </w:rPr>
        <w:t xml:space="preserve"> (95% CI: 14.2 – 19.4 km</w:t>
      </w:r>
      <w:r w:rsidRPr="00D11827">
        <w:rPr>
          <w:rFonts w:ascii="Times New Roman" w:hAnsi="Times New Roman" w:cs="Times New Roman"/>
          <w:color w:val="000000" w:themeColor="text1"/>
          <w:vertAlign w:val="superscript"/>
        </w:rPr>
        <w:t>2</w:t>
      </w:r>
      <w:r w:rsidRPr="00D11827">
        <w:rPr>
          <w:rFonts w:ascii="Times New Roman" w:hAnsi="Times New Roman" w:cs="Times New Roman"/>
          <w:color w:val="000000" w:themeColor="text1"/>
        </w:rPr>
        <w:t>) to 128.8 km</w:t>
      </w:r>
      <w:r w:rsidRPr="00D11827">
        <w:rPr>
          <w:rFonts w:ascii="Times New Roman" w:hAnsi="Times New Roman" w:cs="Times New Roman"/>
          <w:color w:val="000000" w:themeColor="text1"/>
          <w:vertAlign w:val="superscript"/>
        </w:rPr>
        <w:t>2</w:t>
      </w:r>
      <w:r w:rsidRPr="00D11827">
        <w:rPr>
          <w:rFonts w:ascii="Times New Roman" w:hAnsi="Times New Roman" w:cs="Times New Roman"/>
          <w:color w:val="000000" w:themeColor="text1"/>
        </w:rPr>
        <w:t xml:space="preserve"> (95% CI: 73.9 – 198.8 km</w:t>
      </w:r>
      <w:r w:rsidRPr="00D11827">
        <w:rPr>
          <w:rFonts w:ascii="Times New Roman" w:hAnsi="Times New Roman" w:cs="Times New Roman"/>
          <w:color w:val="000000" w:themeColor="text1"/>
          <w:vertAlign w:val="superscript"/>
        </w:rPr>
        <w:t>2</w:t>
      </w:r>
      <w:r w:rsidRPr="00D11827">
        <w:rPr>
          <w:rFonts w:ascii="Times New Roman" w:hAnsi="Times New Roman" w:cs="Times New Roman"/>
          <w:color w:val="000000" w:themeColor="text1"/>
        </w:rPr>
        <w:t>; Fig S2). Males had a mean home-range size of 77.8 km</w:t>
      </w:r>
      <w:r w:rsidRPr="00D11827">
        <w:rPr>
          <w:rFonts w:ascii="Times New Roman" w:hAnsi="Times New Roman" w:cs="Times New Roman"/>
          <w:color w:val="000000" w:themeColor="text1"/>
          <w:vertAlign w:val="superscript"/>
        </w:rPr>
        <w:t>2</w:t>
      </w:r>
      <w:r w:rsidRPr="00D11827">
        <w:rPr>
          <w:rFonts w:ascii="Times New Roman" w:hAnsi="Times New Roman" w:cs="Times New Roman"/>
          <w:color w:val="000000" w:themeColor="text1"/>
        </w:rPr>
        <w:t xml:space="preserve"> (95% CI: 64.5 – 92.3 km</w:t>
      </w:r>
      <w:r w:rsidRPr="00D11827">
        <w:rPr>
          <w:rFonts w:ascii="Times New Roman" w:hAnsi="Times New Roman" w:cs="Times New Roman"/>
          <w:color w:val="000000" w:themeColor="text1"/>
          <w:vertAlign w:val="superscript"/>
        </w:rPr>
        <w:t>2</w:t>
      </w:r>
      <w:r w:rsidRPr="00D11827">
        <w:rPr>
          <w:rFonts w:ascii="Times New Roman" w:hAnsi="Times New Roman" w:cs="Times New Roman"/>
          <w:color w:val="000000" w:themeColor="text1"/>
        </w:rPr>
        <w:t>), versus 19.5 km</w:t>
      </w:r>
      <w:r w:rsidRPr="00D11827">
        <w:rPr>
          <w:rFonts w:ascii="Times New Roman" w:hAnsi="Times New Roman" w:cs="Times New Roman"/>
          <w:color w:val="000000" w:themeColor="text1"/>
          <w:vertAlign w:val="superscript"/>
        </w:rPr>
        <w:t>2</w:t>
      </w:r>
      <w:r w:rsidRPr="00D11827">
        <w:rPr>
          <w:rFonts w:ascii="Times New Roman" w:hAnsi="Times New Roman" w:cs="Times New Roman"/>
          <w:color w:val="000000" w:themeColor="text1"/>
        </w:rPr>
        <w:t xml:space="preserve"> (95% CI: 17.5 – 21.5 km</w:t>
      </w:r>
      <w:r w:rsidRPr="00D11827">
        <w:rPr>
          <w:rFonts w:ascii="Times New Roman" w:hAnsi="Times New Roman" w:cs="Times New Roman"/>
          <w:color w:val="000000" w:themeColor="text1"/>
          <w:vertAlign w:val="superscript"/>
        </w:rPr>
        <w:t>2</w:t>
      </w:r>
      <w:r w:rsidRPr="00D11827">
        <w:rPr>
          <w:rFonts w:ascii="Times New Roman" w:hAnsi="Times New Roman" w:cs="Times New Roman"/>
          <w:color w:val="000000" w:themeColor="text1"/>
        </w:rPr>
        <w:t>) for females.  We estimated the male/female ratio of home-range areas to be 4.01 (3.23–4.88), which excludes 1, indicating males had significantly larger home-ranges than females (Fig 2B). While there were differences in home-range size between the sexes, there were no significant relationships with neither weight (β = 0.001; 95% CI: -0.001 – 0.003; Fig 2C), nor age (β = -0.008; 95% CI: -0.028 – 0.011; Fig 2D).</w:t>
      </w:r>
    </w:p>
    <w:p w14:paraId="5221C50D" w14:textId="77777777" w:rsidR="003D4EB1" w:rsidRPr="00D11827" w:rsidRDefault="003D4EB1" w:rsidP="00D11827">
      <w:pPr>
        <w:spacing w:after="60" w:line="480" w:lineRule="auto"/>
        <w:rPr>
          <w:rFonts w:ascii="Times New Roman" w:hAnsi="Times New Roman" w:cs="Times New Roman"/>
          <w:color w:val="000000" w:themeColor="text1"/>
        </w:rPr>
      </w:pPr>
    </w:p>
    <w:p w14:paraId="74917516" w14:textId="51EED997" w:rsidR="003D4EB1" w:rsidRPr="00D11827" w:rsidRDefault="00EB0E99" w:rsidP="00D11827">
      <w:pPr>
        <w:pStyle w:val="Heading2"/>
        <w:spacing w:line="480" w:lineRule="auto"/>
        <w:rPr>
          <w:rFonts w:ascii="Times New Roman" w:hAnsi="Times New Roman" w:cs="Times New Roman"/>
          <w:color w:val="000000" w:themeColor="text1"/>
          <w:sz w:val="24"/>
          <w:szCs w:val="24"/>
        </w:rPr>
      </w:pPr>
      <w:bookmarkStart w:id="13" w:name="_ggdltsto047y" w:colFirst="0" w:colLast="0"/>
      <w:bookmarkEnd w:id="13"/>
      <w:r>
        <w:rPr>
          <w:rFonts w:ascii="Times New Roman" w:hAnsi="Times New Roman" w:cs="Times New Roman"/>
          <w:color w:val="000000" w:themeColor="text1"/>
          <w:sz w:val="24"/>
          <w:szCs w:val="24"/>
        </w:rPr>
        <w:t xml:space="preserve">3.2 </w:t>
      </w:r>
      <w:r w:rsidRPr="00D11827">
        <w:rPr>
          <w:rFonts w:ascii="Times New Roman" w:hAnsi="Times New Roman" w:cs="Times New Roman"/>
          <w:color w:val="000000" w:themeColor="text1"/>
          <w:sz w:val="24"/>
          <w:szCs w:val="24"/>
        </w:rPr>
        <w:t>Home-range overlap and social behaviour</w:t>
      </w:r>
      <w:r w:rsidRPr="00D11827">
        <w:rPr>
          <w:rFonts w:ascii="Times New Roman" w:hAnsi="Times New Roman" w:cs="Times New Roman"/>
          <w:color w:val="000000" w:themeColor="text1"/>
          <w:sz w:val="24"/>
          <w:szCs w:val="24"/>
        </w:rPr>
        <w:tab/>
      </w:r>
    </w:p>
    <w:p w14:paraId="0ED8349C" w14:textId="7A10E39B" w:rsidR="003D4EB1" w:rsidRPr="00D11827" w:rsidRDefault="00000000" w:rsidP="00D11827">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The average home-range overlap for the five animals monitored during the same time interval was 0.24 (Fig. S3), but ranged from 0.016 between a pair of males (ID696469B and ID696490B) to 0.88 between another pair of males (ID696490B and Iranildo). There was no evidence of significant differences in pairwise overlap between any of the sexes (Λ</w:t>
      </w:r>
      <w:r w:rsidRPr="00D11827">
        <w:rPr>
          <w:rFonts w:ascii="Times New Roman" w:hAnsi="Times New Roman" w:cs="Times New Roman"/>
          <w:color w:val="000000" w:themeColor="text1"/>
          <w:vertAlign w:val="subscript"/>
        </w:rPr>
        <w:t>GLRT</w:t>
      </w:r>
      <w:r w:rsidRPr="00D11827">
        <w:rPr>
          <w:rFonts w:ascii="Times New Roman" w:hAnsi="Times New Roman" w:cs="Times New Roman"/>
          <w:color w:val="000000" w:themeColor="text1"/>
        </w:rPr>
        <w:t xml:space="preserve"> = 0.014, P = 1.0; Fig 3A). Furthermore, all but one of the proximity ratios overlapped 1, indicating no significant avoidance, nor attraction behaviour (Fig 3B). Encounters between individuals were rare, with only an estimated 33 encounter events over the entire tracking period (Fig 3C). Of these, 30 were encounters between two male-female pairs (Iranildo and Iemanja, and ID696469B and ID717047B), and 3 were encounters between Iranildo and ID696490B, the pair of males with the greatest amount of home-range overlap.</w:t>
      </w:r>
    </w:p>
    <w:p w14:paraId="7DF363F0" w14:textId="77777777" w:rsidR="003D4EB1" w:rsidRPr="00D11827" w:rsidRDefault="003D4EB1" w:rsidP="00D11827">
      <w:pPr>
        <w:spacing w:after="60" w:line="480" w:lineRule="auto"/>
        <w:rPr>
          <w:rFonts w:ascii="Times New Roman" w:hAnsi="Times New Roman" w:cs="Times New Roman"/>
          <w:color w:val="000000" w:themeColor="text1"/>
        </w:rPr>
      </w:pPr>
    </w:p>
    <w:p w14:paraId="7D4DDBCE" w14:textId="391BA2C6" w:rsidR="003D4EB1" w:rsidRPr="00D11827" w:rsidRDefault="00EB0E99" w:rsidP="00D11827">
      <w:pPr>
        <w:pStyle w:val="Heading2"/>
        <w:spacing w:line="480" w:lineRule="auto"/>
        <w:rPr>
          <w:rFonts w:ascii="Times New Roman" w:hAnsi="Times New Roman" w:cs="Times New Roman"/>
          <w:color w:val="000000" w:themeColor="text1"/>
          <w:sz w:val="24"/>
          <w:szCs w:val="24"/>
        </w:rPr>
      </w:pPr>
      <w:bookmarkStart w:id="14" w:name="_lhwthuo4sxvi" w:colFirst="0" w:colLast="0"/>
      <w:bookmarkEnd w:id="14"/>
      <w:r>
        <w:rPr>
          <w:rFonts w:ascii="Times New Roman" w:hAnsi="Times New Roman" w:cs="Times New Roman"/>
          <w:color w:val="000000" w:themeColor="text1"/>
          <w:sz w:val="24"/>
          <w:szCs w:val="24"/>
        </w:rPr>
        <w:lastRenderedPageBreak/>
        <w:t xml:space="preserve">3.3 </w:t>
      </w:r>
      <w:r w:rsidRPr="00D11827">
        <w:rPr>
          <w:rFonts w:ascii="Times New Roman" w:hAnsi="Times New Roman" w:cs="Times New Roman"/>
          <w:color w:val="000000" w:themeColor="text1"/>
          <w:sz w:val="24"/>
          <w:szCs w:val="24"/>
        </w:rPr>
        <w:t>Movement speed and activity patterns</w:t>
      </w:r>
    </w:p>
    <w:p w14:paraId="5F49074E" w14:textId="2F5501E7" w:rsidR="00D76E62" w:rsidRPr="00D11827" w:rsidRDefault="00000000" w:rsidP="00D11827">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On average, the monitored jaguars moved at a speed of 7.30 km/day (95% CI: 5.81 – 9.06 km/day), ranging from 3.92 km/day (95% CI: 3.85 – 3.99 km/day) to 10.36 km/day (95% CI: 10.26 – 10.45 km/day). The distribution of movement speeds was well characterised by a gamma distribution with a shape of 5.93 (SE = 0.08) and a rate of 32.1 (SE = 0.45; Fig S4). We estimated the male/female ratio of movement speeds to be 1.09 (0.65–1.64), which includes 1, indicating no significant difference (Fig 4A). There were also no significant relationships between movement speed and weight (β &lt; -0.001; 95% CI: -0.003 – 0.002; Fig 4B), nor age (β = -0.0015; 95% CI: -0.022 – 0.019; Fig 4C). The jaguars on Maracá-Jipioca did, however, modulate their activity as a function of habitat. Animals were stationary 78.7% of the time, and moving the remaining 21.3%, but their probability of moving differed significantly between habitats (Λ</w:t>
      </w:r>
      <w:r w:rsidRPr="00D11827">
        <w:rPr>
          <w:rFonts w:ascii="Times New Roman" w:hAnsi="Times New Roman" w:cs="Times New Roman"/>
          <w:color w:val="000000" w:themeColor="text1"/>
          <w:vertAlign w:val="subscript"/>
        </w:rPr>
        <w:t>GLRT</w:t>
      </w:r>
      <w:r w:rsidRPr="00D11827">
        <w:rPr>
          <w:rFonts w:ascii="Times New Roman" w:hAnsi="Times New Roman" w:cs="Times New Roman"/>
          <w:color w:val="000000" w:themeColor="text1"/>
        </w:rPr>
        <w:t xml:space="preserve"> = 662.3, P &lt; 0.001; Fig 4D, Table 1). On average, the monitored animals tended to have a higher probability of moving in grasslands, water, and wetlands, versus a greater probability of resting while in forests and mangroves.</w:t>
      </w:r>
    </w:p>
    <w:p w14:paraId="5D6185EF" w14:textId="2D9314C3" w:rsidR="003D4EB1" w:rsidRPr="00D11827" w:rsidRDefault="00000000" w:rsidP="00D11827">
      <w:pPr>
        <w:spacing w:after="60" w:line="480" w:lineRule="auto"/>
        <w:ind w:firstLine="720"/>
        <w:rPr>
          <w:rFonts w:ascii="Times New Roman" w:hAnsi="Times New Roman" w:cs="Times New Roman"/>
          <w:color w:val="000000" w:themeColor="text1"/>
        </w:rPr>
      </w:pPr>
      <w:r w:rsidRPr="00D11827">
        <w:rPr>
          <w:rFonts w:ascii="Times New Roman" w:hAnsi="Times New Roman" w:cs="Times New Roman"/>
          <w:color w:val="000000" w:themeColor="text1"/>
        </w:rPr>
        <w:t>When active, the movement speed of the monitored jaguars also differed as a function of habitat (Λ</w:t>
      </w:r>
      <w:r w:rsidRPr="00D11827">
        <w:rPr>
          <w:rFonts w:ascii="Times New Roman" w:hAnsi="Times New Roman" w:cs="Times New Roman"/>
          <w:color w:val="000000" w:themeColor="text1"/>
          <w:vertAlign w:val="subscript"/>
        </w:rPr>
        <w:t xml:space="preserve">GLRT </w:t>
      </w:r>
      <w:r w:rsidRPr="00D11827">
        <w:rPr>
          <w:rFonts w:ascii="Times New Roman" w:hAnsi="Times New Roman" w:cs="Times New Roman"/>
          <w:color w:val="000000" w:themeColor="text1"/>
        </w:rPr>
        <w:t>= 5.19, P &lt; 0.001; Fig 4E, Table 1). Jaguars’ average instantaneous movement speed was estimated as 0.18 m/s (range: 0.04 – 0.92 m/s). Compared to forests, these jaguars tended to move more quickly in grassland (β = 0.44, P &lt; 0.001), wetlands (β = 0.49, P &lt; 0.001), and water (β = 0.48, P = 0.034), but more slowly while moving through mangroves (β = -0.28, P &lt; 0.0001).</w:t>
      </w:r>
    </w:p>
    <w:p w14:paraId="30067099" w14:textId="0D7A273E" w:rsidR="003D4EB1" w:rsidRPr="00D11827" w:rsidRDefault="00000000" w:rsidP="00D11827">
      <w:pPr>
        <w:spacing w:after="60" w:line="480" w:lineRule="auto"/>
        <w:ind w:firstLine="720"/>
        <w:rPr>
          <w:rFonts w:ascii="Times New Roman" w:hAnsi="Times New Roman" w:cs="Times New Roman"/>
          <w:b/>
          <w:bCs/>
          <w:color w:val="000000" w:themeColor="text1"/>
        </w:rPr>
      </w:pPr>
      <w:r w:rsidRPr="00D11827">
        <w:rPr>
          <w:rFonts w:ascii="Times New Roman" w:hAnsi="Times New Roman" w:cs="Times New Roman"/>
          <w:color w:val="000000" w:themeColor="text1"/>
        </w:rPr>
        <w:t>Across all animals, activity peaked between 10:00 and 20:00 hrs (Fig 5A, 5B). Interestingly, however, there were marked differences in the circadian rhythms between males and females, and a hierarchical GAM predicting activity that included an interactive effect between the time of day and sex was a significantly better match to the data than one that included time of day alone (Λ</w:t>
      </w:r>
      <w:r w:rsidRPr="00D11827">
        <w:rPr>
          <w:rFonts w:ascii="Times New Roman" w:hAnsi="Times New Roman" w:cs="Times New Roman"/>
          <w:color w:val="000000" w:themeColor="text1"/>
          <w:vertAlign w:val="subscript"/>
        </w:rPr>
        <w:t xml:space="preserve">GLRT </w:t>
      </w:r>
      <w:r w:rsidRPr="00D11827">
        <w:rPr>
          <w:rFonts w:ascii="Times New Roman" w:hAnsi="Times New Roman" w:cs="Times New Roman"/>
          <w:color w:val="000000" w:themeColor="text1"/>
        </w:rPr>
        <w:t xml:space="preserve">= 836.3, P &lt; 0.001). The patterns of this interaction </w:t>
      </w:r>
      <w:r w:rsidRPr="00D11827">
        <w:rPr>
          <w:rFonts w:ascii="Times New Roman" w:hAnsi="Times New Roman" w:cs="Times New Roman"/>
          <w:color w:val="000000" w:themeColor="text1"/>
        </w:rPr>
        <w:lastRenderedPageBreak/>
        <w:t>term indicated that males and females avoided being active at the same time of day (Fig 5C). The net result was that females tended to exhibit more diurnal activity, whereas males were active throughout the day, but with reduced daytime activity compared to females, and more pronounced crepuscular behaviour (Fig 5D).</w:t>
      </w:r>
    </w:p>
    <w:p w14:paraId="49E338BF" w14:textId="77777777" w:rsidR="003D4EB1" w:rsidRPr="00D11827" w:rsidRDefault="003D4EB1" w:rsidP="00D11827">
      <w:pPr>
        <w:spacing w:after="60" w:line="480" w:lineRule="auto"/>
        <w:ind w:firstLine="720"/>
        <w:rPr>
          <w:rFonts w:ascii="Times New Roman" w:hAnsi="Times New Roman" w:cs="Times New Roman"/>
          <w:color w:val="000000" w:themeColor="text1"/>
        </w:rPr>
      </w:pPr>
    </w:p>
    <w:p w14:paraId="2D04CF0F" w14:textId="514AF558" w:rsidR="003D4EB1" w:rsidRPr="00D11827" w:rsidRDefault="00EB0E99" w:rsidP="00D11827">
      <w:pPr>
        <w:pStyle w:val="Heading2"/>
        <w:spacing w:line="480" w:lineRule="auto"/>
        <w:rPr>
          <w:rFonts w:ascii="Times New Roman" w:hAnsi="Times New Roman" w:cs="Times New Roman"/>
          <w:color w:val="000000" w:themeColor="text1"/>
          <w:sz w:val="24"/>
          <w:szCs w:val="24"/>
        </w:rPr>
      </w:pPr>
      <w:bookmarkStart w:id="15" w:name="_h34jbiewq40k" w:colFirst="0" w:colLast="0"/>
      <w:bookmarkEnd w:id="15"/>
      <w:r>
        <w:rPr>
          <w:rFonts w:ascii="Times New Roman" w:hAnsi="Times New Roman" w:cs="Times New Roman"/>
          <w:color w:val="000000" w:themeColor="text1"/>
          <w:sz w:val="24"/>
          <w:szCs w:val="24"/>
        </w:rPr>
        <w:t xml:space="preserve">3.4 </w:t>
      </w:r>
      <w:r w:rsidRPr="00D11827">
        <w:rPr>
          <w:rFonts w:ascii="Times New Roman" w:hAnsi="Times New Roman" w:cs="Times New Roman"/>
          <w:color w:val="000000" w:themeColor="text1"/>
          <w:sz w:val="24"/>
          <w:szCs w:val="24"/>
        </w:rPr>
        <w:t>Habitat use and selection</w:t>
      </w:r>
    </w:p>
    <w:p w14:paraId="2C882A7F" w14:textId="77777777" w:rsidR="003D4EB1" w:rsidRPr="00D11827" w:rsidRDefault="00000000" w:rsidP="00D11827">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In addition to habitat dependent patterns in movement speed and activity, Maracá-Jipioca jaguars exhibited strong patterns of habitat preference (Fig 6A). In general, individuals preferentially selected for grasslands, and forests, followed by mangroves, with comparatively low selection for the island’s wetlands relative to their availability (see Fig S5). Interestingly, however, their habitat selection was influenced heavily by the interactive effect of distance to coast, with a strong preference for habitats ca. 100m from the coast (Fig 6B).</w:t>
      </w:r>
    </w:p>
    <w:p w14:paraId="7ED31EE1" w14:textId="3EFD6FF5" w:rsidR="003D4EB1" w:rsidRPr="00D11827" w:rsidRDefault="00000000" w:rsidP="00D11827">
      <w:pPr>
        <w:spacing w:after="60" w:line="480" w:lineRule="auto"/>
        <w:ind w:firstLine="720"/>
        <w:rPr>
          <w:rFonts w:ascii="Times New Roman" w:hAnsi="Times New Roman" w:cs="Times New Roman"/>
          <w:color w:val="000000" w:themeColor="text1"/>
        </w:rPr>
      </w:pPr>
      <w:r w:rsidRPr="00D11827">
        <w:rPr>
          <w:rFonts w:ascii="Times New Roman" w:hAnsi="Times New Roman" w:cs="Times New Roman"/>
          <w:color w:val="000000" w:themeColor="text1"/>
        </w:rPr>
        <w:t>Jaguars on Maracá-Jipioca exhibited a strong preference for the Islands’ coastal habitats, and spent a substantial portion of their time directly at or near the island’s coast (Fig 1A). Interestingly in this regard, we found that individuals adjusted their distance to the coast as a function of the tide, such that they tended to remain closer to the coast when the tide was low (β = 1.15, P &lt; 0.001; Fig 6). Although there was substantial residual variance (Fig 6C), the model that included sea level was a significantly better predictor of jaguars’ distance to the coast than the null model that included only individual differences in behaviour (Λ</w:t>
      </w:r>
      <w:r w:rsidRPr="00D11827">
        <w:rPr>
          <w:rFonts w:ascii="Times New Roman" w:hAnsi="Times New Roman" w:cs="Times New Roman"/>
          <w:color w:val="000000" w:themeColor="text1"/>
          <w:vertAlign w:val="subscript"/>
        </w:rPr>
        <w:t xml:space="preserve">GLRT </w:t>
      </w:r>
      <w:r w:rsidRPr="00D11827">
        <w:rPr>
          <w:rFonts w:ascii="Times New Roman" w:hAnsi="Times New Roman" w:cs="Times New Roman"/>
          <w:color w:val="000000" w:themeColor="text1"/>
        </w:rPr>
        <w:t>= 2999.2, P &lt; 0.001).</w:t>
      </w:r>
    </w:p>
    <w:p w14:paraId="39FD3D99" w14:textId="31D1B681" w:rsidR="003D4EB1" w:rsidRPr="00D11827" w:rsidRDefault="003D4EB1" w:rsidP="00D11827">
      <w:pPr>
        <w:spacing w:after="60" w:line="480" w:lineRule="auto"/>
        <w:rPr>
          <w:rFonts w:ascii="Times New Roman" w:hAnsi="Times New Roman" w:cs="Times New Roman"/>
          <w:color w:val="000000" w:themeColor="text1"/>
        </w:rPr>
      </w:pPr>
    </w:p>
    <w:p w14:paraId="530BA128" w14:textId="77777777" w:rsidR="003D4EB1" w:rsidRPr="00D11827" w:rsidRDefault="003D4EB1" w:rsidP="00D11827">
      <w:pPr>
        <w:spacing w:after="60" w:line="480" w:lineRule="auto"/>
        <w:rPr>
          <w:rFonts w:ascii="Times New Roman" w:hAnsi="Times New Roman" w:cs="Times New Roman"/>
          <w:b/>
          <w:bCs/>
          <w:color w:val="000000" w:themeColor="text1"/>
        </w:rPr>
      </w:pPr>
    </w:p>
    <w:p w14:paraId="00325826" w14:textId="41BDEC4F" w:rsidR="003D4EB1" w:rsidRPr="00D11827" w:rsidRDefault="00EB0E99" w:rsidP="00EB0E99">
      <w:pPr>
        <w:pStyle w:val="Heading1"/>
        <w:numPr>
          <w:ilvl w:val="0"/>
          <w:numId w:val="1"/>
        </w:numPr>
        <w:rPr>
          <w:rFonts w:ascii="Times New Roman" w:hAnsi="Times New Roman" w:cs="Times New Roman"/>
          <w:color w:val="000000" w:themeColor="text1"/>
          <w:sz w:val="24"/>
          <w:szCs w:val="24"/>
        </w:rPr>
      </w:pPr>
      <w:bookmarkStart w:id="16" w:name="_fk2ua5731to" w:colFirst="0" w:colLast="0"/>
      <w:bookmarkEnd w:id="16"/>
      <w:r w:rsidRPr="00D11827">
        <w:rPr>
          <w:rFonts w:ascii="Times New Roman" w:hAnsi="Times New Roman" w:cs="Times New Roman"/>
          <w:color w:val="000000" w:themeColor="text1"/>
          <w:sz w:val="24"/>
          <w:szCs w:val="24"/>
        </w:rPr>
        <w:lastRenderedPageBreak/>
        <w:t>DISCUSSION</w:t>
      </w:r>
    </w:p>
    <w:p w14:paraId="266C4A66" w14:textId="6A65EA13" w:rsidR="003D4EB1" w:rsidRPr="00D11827" w:rsidRDefault="00000000" w:rsidP="00D11827">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 xml:space="preserve">This study offers the first detailed insight into the movement ecology of jaguars inhabiting an isolated Amazonian island system. This study offers the first detailed insight into the movement ecology of jaguars inhabiting an isolated Amazonian island system. While previous work has documented jaguar space use across varied mainland habitats, from dense rainforest to open savannahs and wetlands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{"citationID":"yQwYJ7aH","properties":{"formattedCitation":"(Morato {\\i{}et al.} 2016, Thompson {\\i{}et al.} 2021)","plainCitation":"(Morato et al. 2016, Thompson et al. 2021)","noteIndex":0},"citationItems":[{"id":7941,"uris":["http://zotero.org/users/11476620/items/WI2JA44T"],"itemData":{"id":7941,"type":"article-journal","container-title":"PLOS ONE","DOI":"10.1371/journal.pone.0168176","ISSN":"1932-6203","issue":"12","journalAbbreviation":"PLoS ONE","language":"en","page":"e0168176","source":"DOI.org (Crossref)","title":"Space Use and Movement of a Neotropical Top Predator: The Endangered Jaguar","title-short":"Space Use and Movement of a Neotropical Top Predator","volume":"11","author":[{"family":"Morato","given":"Ronaldo G."},{"family":"Stabach","given":"Jared A."},{"family":"Fleming","given":"Chris H."},{"family":"Calabrese","given":"Justin M."},{"family":"De Paula","given":"Rogério C."},{"family":"Ferraz","given":"Kátia M. P. M."},{"family":"Kantek","given":"Daniel L. Z."},{"family":"Miyazaki","given":"Selma S."},{"family":"Pereira","given":"Thadeu D. C."},{"family":"Araujo","given":"Gediendson R."},{"family":"Paviolo","given":"Agustin"},{"family":"De Angelo","given":"Carlos"},{"family":"Di Bitetti","given":"Mario S."},{"family":"Cruz","given":"Paula"},{"family":"Lima","given":"Fernando"},{"family":"Cullen","given":"Laury"},{"family":"Sana","given":"Denis A."},{"family":"Ramalho","given":"Emiliano E."},{"family":"Carvalho","given":"Marina M."},{"family":"Soares","given":"Fábio H. S."},{"family":"Zimbres","given":"Barbara"},{"family":"Silva","given":"Marina X."},{"family":"Moraes","given":"Marcela D. F."},{"family":"Vogliotti","given":"Alexandre"},{"family":"May","given":"Joares A."},{"family":"Haberfeld","given":"Mario"},{"family":"Rampim","given":"Lilian"},{"family":"Sartorello","given":"Leonardo"},{"family":"Ribeiro","given":"Milton C."},{"family":"Leimgruber","given":"Peter"}],"editor":[{"family":"Stöck","given":"Matthias"}],"issued":{"date-parts":[["2016",12,28]]}},"label":"page"},{"id":8024,"uris":["http://zotero.org/users/11476620/items/XJLP93KU"],"itemData":{"id":8024,"type":"article-journal","container-title":"Current Biology","DOI":"10.1016/j.cub.2021.06.029","ISSN":"09609822","issue":"15","journalAbbreviation":"Current Biology","language":"en","page":"3457-3466.e4","source":"DOI.org (Crossref)","title":"Environmental and anthropogenic factors synergistically affect space use of jaguars","volume":"31","author":[{"family":"Thompson","given":"Jeffrey J."},{"family":"Morato","given":"Ronaldo G."},{"family":"Niebuhr","given":"Bernardo B."},{"family":"Alegre","given":"Vanesa Bejarano"},{"family":"Oshima","given":"Júlia Emi F."},{"family":"De Barros","given":"Alan E."},{"family":"Paviolo","given":"Agustín"},{"family":"De La Torre","given":"J. Antonio"},{"family":"Lima","given":"Fernando"},{"family":"McBride","given":"Roy T."},{"family":"Cunha De Paula","given":"Rogerio"},{"family":"Cullen","given":"Laury"},{"family":"Silveira","given":"Leandro"},{"family":"Kantek","given":"Daniel L.Z."},{"family":"Ramalho","given":"Emiliano E."},{"family":"Maranhão","given":"Louise"},{"family":"Haberfeld","given":"Mario"},{"family":"Sana","given":"Denis A."},{"family":"Medellin","given":"Rodrigo A."},{"family":"Carrillo","given":"Eduardo"},{"family":"Montalvo","given":"Victor H."},{"family":"Monroy-Vilchis","given":"Octavio"},{"family":"Cruz","given":"Paula"},{"family":"Jacomo","given":"Anah T.A."},{"family":"Alves","given":"Giselle B."},{"family":"Cassaigne","given":"Ivonne"},{"family":"Thompson","given":"Ron"},{"family":"Sáenz-Bolaños","given":"Carolina"},{"family":"Cruz","given":"Juan Carlos"},{"family":"Alfaro","given":"Luis D."},{"family":"Hagnauer","given":"Isabel"},{"family":"Xavier Da Silva","given":"Marina"},{"family":"Vogliotti","given":"Alexandre"},{"family":"Moraes","given":"Marcela F.D."},{"family":"Miyazaki","given":"Selma S."},{"family":"Araujo","given":"Gediendson R."},{"family":"Cruz Da Silva","given":"Leanes"},{"family":"Leuzinger","given":"Lucas"},{"family":"Carvalho","given":"Marina M."},{"family":"Rampim","given":"Lilian"},{"family":"Sartorello","given":"Leonardo"},{"family":"Quigley","given":"Howard"},{"family":"Tortato","given":"Fernando R."},{"family":"Hoogesteijn","given":"Rafael"},{"family":"Crawshaw","given":"Peter G."},{"family":"Devlin","given":"Allison L."},{"family":"May Júnior","given":"Joares A."},{"family":"Powell","given":"George V.N."},{"family":"Tobler","given":"Mathias W."},{"family":"Carrillo-Percastegui","given":"Samia E."},{"family":"Payán","given":"Estebán"},{"family":"Azevedo","given":"Fernando C.C."},{"family":"Concone","given":"Henrique V.B."},{"family":"Quiroga","given":"Verónica A."},{"family":"Costa","given":"Sebastián A."},{"family":"Arrabal","given":"Juan P."},{"family":"Vanderhoeven","given":"Ezequiel"},{"family":"Di Blanco","given":"Yamil E."},{"family":"Lopes","given":"Alexandre M.C."},{"family":"Ribeiro","given":"Milton Cezar"}],"issued":{"date-parts":[["2021",8]]}},"label":"page"}],"schema":"https://github.com/citation-style-language/schema/raw/master/csl-citation.json"}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(Morato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2016, Thompson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2021)</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our findings provide a valuable counterpoint by illustrating how spatial ecology unfolds in a geographically bounded, low-disturbance insular environment. Despite the spatial constraints imposed by the Maracá-Jipioca Ecological Station, jaguars maintained spatial and behavioural patterns similar with those observed in mainland populations, while also exhibiting unique adaptations to their insular environment. Unlike many previous studies conducted in human-altered landscapes, Maracá-Jipioca presents a rare example of a low-disturbance ecosystem (HFI ≈ 0), offering a valuable baseline for evaluating jaguar spatial ecology in the absence of anthropogenic pressures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{"citationID":"dWrhUqhi","properties":{"formattedCitation":"(Ripple {\\i{}et al.} 2014, Thompson {\\i{}et al.} 2021)","plainCitation":"(Ripple et al. 2014, Thompson et al. 2021)","noteIndex":0},"citationItems":[{"id":7950,"uris":["http://zotero.org/users/11476620/items/5C4VB5W4"],"itemData":{"id":7950,"type":"article-journal","abstract":"Preserving Predators\n            \n              Large-bodied animals play essential roles in ecosystem structuring and stability through both indirect and direct trophic effects. In recent times, humans have disrupted this trophic structure through both habitat destruction and active extirpation of large predators, resulting in large declines in numbers and vast contractions in their geographic ranges.\n              \n                Ripple\n                et al.\n              \n              (\n              10.1126/science.1241484\n              ; see the Perspective by\n              \n                Roberts\n              \n              ) review the status, threats, and ecological importance of the 31 largest mammalian carnivores globally. These species are responsible for a suite of direct and indirect stabilizing effects in ecosystems. Current levels of decline are likely to result in ecologically ineffective population densities and can lead to ecosystem instability. The preservation of large carnivores can be challenging because of their need for large ranges and their potential for human conflict. However, the authors demonstrate that the preservation of large carnivores is ecologically important and that the need for conservation action is immediate, given the severity of the threats they face.\n            \n          , \n            Large carnivores face serious threats and are experiencing massive declines in their populations and geographic ranges around the world. We highlight how these threats have affected the conservation status and ecological functioning of the 31 largest mammalian carnivores on Earth. Consistent with theory, empirical studies increasingly show that large carnivores have substantial effects on the structure and function of diverse ecosystems. Significant cascading trophic interactions, mediated by their prey or sympatric mesopredators, arise when some of these carnivores are extirpated from or repatriated to ecosystems. Unexpected effects of trophic cascades on various taxa and processes include changes to bird, mammal, invertebrate, and herpetofauna abundance or richness; subsidies to scavengers; altered disease dynamics; carbon sequestration; modified stream morphology; and crop damage. Promoting tolerance and coexistence with large carnivores is a crucial societal challenge that will ultimately determine the fate of  Earth’s largest carnivores and all that depends upon them, including humans.","container-title":"Science","DOI":"10.1126/science.1241484","ISSN":"0036-8075, 1095-9203","issue":"6167","journalAbbreviation":"Science","language":"en","page":"1241484","source":"DOI.org (Crossref)","title":"Status and Ecological Effects of the World’s Largest Carnivores","volume":"343","author":[{"family":"Ripple","given":"William J."},{"family":"Estes","given":"James A."},{"family":"Beschta","given":"Robert L."},{"family":"Wilmers","given":"Christopher C."},{"family":"Ritchie","given":"Euan G."},{"family":"Hebblewhite","given":"Mark"},{"family":"Berger","given":"Joel"},{"family":"Elmhagen","given":"Bodil"},{"family":"Letnic","given":"Mike"},{"family":"Nelson","given":"Michael P."},{"family":"Schmitz","given":"Oswald J."},{"family":"Smith","given":"Douglas W."},{"family":"Wallach","given":"Arian D."},{"family":"Wirsing","given":"Aaron J."}],"issued":{"date-parts":[["2014",1,10]]}},"label":"page"},{"id":8024,"uris":["http://zotero.org/users/11476620/items/XJLP93KU"],"itemData":{"id":8024,"type":"article-journal","container-title":"Current Biology","DOI":"10.1016/j.cub.2021.06.029","ISSN":"09609822","issue":"15","journalAbbreviation":"Current Biology","language":"en","page":"3457-3466.e4","source":"DOI.org (Crossref)","title":"Environmental and anthropogenic factors synergistically affect space use of jaguars","volume":"31","author":[{"family":"Thompson","given":"Jeffrey J."},{"family":"Morato","given":"Ronaldo G."},{"family":"Niebuhr","given":"Bernardo B."},{"family":"Alegre","given":"Vanesa Bejarano"},{"family":"Oshima","given":"Júlia Emi F."},{"family":"De Barros","given":"Alan E."},{"family":"Paviolo","given":"Agustín"},{"family":"De La Torre","given":"J. Antonio"},{"family":"Lima","given":"Fernando"},{"family":"McBride","given":"Roy T."},{"family":"Cunha De Paula","given":"Rogerio"},{"family":"Cullen","given":"Laury"},{"family":"Silveira","given":"Leandro"},{"family":"Kantek","given":"Daniel L.Z."},{"family":"Ramalho","given":"Emiliano E."},{"family":"Maranhão","given":"Louise"},{"family":"Haberfeld","given":"Mario"},{"family":"Sana","given":"Denis A."},{"family":"Medellin","given":"Rodrigo A."},{"family":"Carrillo","given":"Eduardo"},{"family":"Montalvo","given":"Victor H."},{"family":"Monroy-Vilchis","given":"Octavio"},{"family":"Cruz","given":"Paula"},{"family":"Jacomo","given":"Anah T.A."},{"family":"Alves","given":"Giselle B."},{"family":"Cassaigne","given":"Ivonne"},{"family":"Thompson","given":"Ron"},{"family":"Sáenz-Bolaños","given":"Carolina"},{"family":"Cruz","given":"Juan Carlos"},{"family":"Alfaro","given":"Luis D."},{"family":"Hagnauer","given":"Isabel"},{"family":"Xavier Da Silva","given":"Marina"},{"family":"Vogliotti","given":"Alexandre"},{"family":"Moraes","given":"Marcela F.D."},{"family":"Miyazaki","given":"Selma S."},{"family":"Araujo","given":"Gediendson R."},{"family":"Cruz Da Silva","given":"Leanes"},{"family":"Leuzinger","given":"Lucas"},{"family":"Carvalho","given":"Marina M."},{"family":"Rampim","given":"Lilian"},{"family":"Sartorello","given":"Leonardo"},{"family":"Quigley","given":"Howard"},{"family":"Tortato","given":"Fernando R."},{"family":"Hoogesteijn","given":"Rafael"},{"family":"Crawshaw","given":"Peter G."},{"family":"Devlin","given":"Allison L."},{"family":"May Júnior","given":"Joares A."},{"family":"Powell","given":"George V.N."},{"family":"Tobler","given":"Mathias W."},{"family":"Carrillo-Percastegui","given":"Samia E."},{"family":"Payán","given":"Estebán"},{"family":"Azevedo","given":"Fernando C.C."},{"family":"Concone","given":"Henrique V.B."},{"family":"Quiroga","given":"Verónica A."},{"family":"Costa","given":"Sebastián A."},{"family":"Arrabal","given":"Juan P."},{"family":"Vanderhoeven","given":"Ezequiel"},{"family":"Di Blanco","given":"Yamil E."},{"family":"Lopes","given":"Alexandre M.C."},{"family":"Ribeiro","given":"Milton Cezar"}],"issued":{"date-parts":[["2021",8]]}},"label":"page"}],"schema":"https://github.com/citation-style-language/schema/raw/master/csl-citation.json"}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(Ripple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2014, Thompson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2021)</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Nevertheless, it is important to note that, while Maracá-Jipioca is geographically distinct and ecologically insular, jaguars are capable swimmers, and occasional connectivity with the mainland cannot be ruled out. Moreover, previous studies using camera trapping have identified up to 21 individual jaguars on the island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{"citationID":"m1qd0ed6","properties":{"formattedCitation":"(Vergara 2011)","plainCitation":"(Vergara 2011)","noteIndex":0},"citationItems":[{"id":7985,"uris":["http://zotero.org/users/11476620/items/AVPPGRSM"],"itemData":{"id":7985,"type":"thesis","event-place":"Santa Maria, RS, Brasil","language":"Portuguese","number-of-pages":"53","publisher":"Universidade Federal de Santa Maria","publisher-place":"Santa Maria, RS, Brasil","title":"Aspectos ecolóficos da onça-pintada (Panthera onca) em uma ilha costeira na região norte do Brasil","author":[{"family":"Vergara","given":"Michelini"}],"accessed":{"date-parts":[["2025",6,25]]},"issued":{"date-parts":[["2011"]]}}}],"schema":"https://github.com/citation-style-language/schema/raw/master/csl-citation.json"} </w:instrText>
      </w:r>
      <w:r w:rsidRPr="00D11827">
        <w:rPr>
          <w:rFonts w:ascii="Times New Roman" w:hAnsi="Times New Roman" w:cs="Times New Roman"/>
          <w:color w:val="000000" w:themeColor="text1"/>
        </w:rPr>
        <w:fldChar w:fldCharType="separate"/>
      </w:r>
      <w:r w:rsidR="00E21B60">
        <w:rPr>
          <w:rFonts w:ascii="Times New Roman" w:hAnsi="Times New Roman" w:cs="Times New Roman"/>
          <w:color w:val="000000" w:themeColor="text1"/>
        </w:rPr>
        <w:t>(Vergara 2011)</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suggesting that our tracked sample represents only a subset of the population.</w:t>
      </w:r>
    </w:p>
    <w:p w14:paraId="236F056C" w14:textId="46E948BE" w:rsidR="003D4EB1" w:rsidRPr="00D11827" w:rsidRDefault="00000000" w:rsidP="00D11827">
      <w:pPr>
        <w:spacing w:after="60" w:line="480" w:lineRule="auto"/>
        <w:ind w:firstLine="720"/>
        <w:rPr>
          <w:rFonts w:ascii="Times New Roman" w:hAnsi="Times New Roman" w:cs="Times New Roman"/>
          <w:color w:val="000000" w:themeColor="text1"/>
        </w:rPr>
      </w:pPr>
      <w:r w:rsidRPr="00D11827">
        <w:rPr>
          <w:rFonts w:ascii="Times New Roman" w:hAnsi="Times New Roman" w:cs="Times New Roman"/>
          <w:color w:val="000000" w:themeColor="text1"/>
        </w:rPr>
        <w:t xml:space="preserve">As with most continental jaguar populations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{"citationID":"4Dtlt1cO","properties":{"formattedCitation":"(Morato {\\i{}et al.} 2016, Thompson {\\i{}et al.} 2021)","plainCitation":"(Morato et al. 2016, Thompson et al. 2021)","noteIndex":0},"citationItems":[{"id":7941,"uris":["http://zotero.org/users/11476620/items/WI2JA44T"],"itemData":{"id":7941,"type":"article-journal","container-title":"PLOS ONE","DOI":"10.1371/journal.pone.0168176","ISSN":"1932-6203","issue":"12","journalAbbreviation":"PLoS ONE","language":"en","page":"e0168176","source":"DOI.org (Crossref)","title":"Space Use and Movement of a Neotropical Top Predator: The Endangered Jaguar","title-short":"Space Use and Movement of a Neotropical Top Predator","volume":"11","author":[{"family":"Morato","given":"Ronaldo G."},{"family":"Stabach","given":"Jared A."},{"family":"Fleming","given":"Chris H."},{"family":"Calabrese","given":"Justin M."},{"family":"De Paula","given":"Rogério C."},{"family":"Ferraz","given":"Kátia M. P. M."},{"family":"Kantek","given":"Daniel L. Z."},{"family":"Miyazaki","given":"Selma S."},{"family":"Pereira","given":"Thadeu D. C."},{"family":"Araujo","given":"Gediendson R."},{"family":"Paviolo","given":"Agustin"},{"family":"De Angelo","given":"Carlos"},{"family":"Di Bitetti","given":"Mario S."},{"family":"Cruz","given":"Paula"},{"family":"Lima","given":"Fernando"},{"family":"Cullen","given":"Laury"},{"family":"Sana","given":"Denis A."},{"family":"Ramalho","given":"Emiliano E."},{"family":"Carvalho","given":"Marina M."},{"family":"Soares","given":"Fábio H. S."},{"family":"Zimbres","given":"Barbara"},{"family":"Silva","given":"Marina X."},{"family":"Moraes","given":"Marcela D. F."},{"family":"Vogliotti","given":"Alexandre"},{"family":"May","given":"Joares A."},{"family":"Haberfeld","given":"Mario"},{"family":"Rampim","given":"Lilian"},{"family":"Sartorello","given":"Leonardo"},{"family":"Ribeiro","given":"Milton C."},{"family":"Leimgruber","given":"Peter"}],"editor":[{"family":"Stöck","given":"Matthias"}],"issued":{"date-parts":[["2016",12,28]]}},"label":"page"},{"id":8024,"uris":["http://zotero.org/users/11476620/items/XJLP93KU"],"itemData":{"id":8024,"type":"article-journal","container-title":"Current Biology","DOI":"10.1016/j.cub.2021.06.029","ISSN":"09609822","issue":"15","journalAbbreviation":"Current Biology","language":"en","page":"3457-3466.e4","source":"DOI.org (Crossref)","title":"Environmental and anthropogenic factors synergistically affect space use of jaguars","volume":"31","author":[{"family":"Thompson","given":"Jeffrey J."},{"family":"Morato","given":"Ronaldo G."},{"family":"Niebuhr","given":"Bernardo B."},{"family":"Alegre","given":"Vanesa Bejarano"},{"family":"Oshima","given":"Júlia Emi F."},{"family":"De Barros","given":"Alan E."},{"family":"Paviolo","given":"Agustín"},{"family":"De La Torre","given":"J. Antonio"},{"family":"Lima","given":"Fernando"},{"family":"McBride","given":"Roy T."},{"family":"Cunha De Paula","given":"Rogerio"},{"family":"Cullen","given":"Laury"},{"family":"Silveira","given":"Leandro"},{"family":"Kantek","given":"Daniel L.Z."},{"family":"Ramalho","given":"Emiliano E."},{"family":"Maranhão","given":"Louise"},{"family":"Haberfeld","given":"Mario"},{"family":"Sana","given":"Denis A."},{"family":"Medellin","given":"Rodrigo A."},{"family":"Carrillo","given":"Eduardo"},{"family":"Montalvo","given":"Victor H."},{"family":"Monroy-Vilchis","given":"Octavio"},{"family":"Cruz","given":"Paula"},{"family":"Jacomo","given":"Anah T.A."},{"family":"Alves","given":"Giselle B."},{"family":"Cassaigne","given":"Ivonne"},{"family":"Thompson","given":"Ron"},{"family":"Sáenz-Bolaños","given":"Carolina"},{"family":"Cruz","given":"Juan Carlos"},{"family":"Alfaro","given":"Luis D."},{"family":"Hagnauer","given":"Isabel"},{"family":"Xavier Da Silva","given":"Marina"},{"family":"Vogliotti","given":"Alexandre"},{"family":"Moraes","given":"Marcela F.D."},{"family":"Miyazaki","given":"Selma S."},{"family":"Araujo","given":"Gediendson R."},{"family":"Cruz Da Silva","given":"Leanes"},{"family":"Leuzinger","given":"Lucas"},{"family":"Carvalho","given":"Marina M."},{"family":"Rampim","given":"Lilian"},{"family":"Sartorello","given":"Leonardo"},{"family":"Quigley","given":"Howard"},{"family":"Tortato","given":"Fernando R."},{"family":"Hoogesteijn","given":"Rafael"},{"family":"Crawshaw","given":"Peter G."},{"family":"Devlin","given":"Allison L."},{"family":"May Júnior","given":"Joares A."},{"family":"Powell","given":"George V.N."},{"family":"Tobler","given":"Mathias W."},{"family":"Carrillo-Percastegui","given":"Samia E."},{"family":"Payán","given":"Estebán"},{"family":"Azevedo","given":"Fernando C.C."},{"family":"Concone","given":"Henrique V.B."},{"family":"Quiroga","given":"Verónica A."},{"family":"Costa","given":"Sebastián A."},{"family":"Arrabal","given":"Juan P."},{"family":"Vanderhoeven","given":"Ezequiel"},{"family":"Di Blanco","given":"Yamil E."},{"family":"Lopes","given":"Alexandre M.C."},{"family":"Ribeiro","given":"Milton Cezar"}],"issued":{"date-parts":[["2021",8]]}},"label":"page"}],"schema":"https://github.com/citation-style-language/schema/raw/master/csl-citation.json"}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(Morato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2016, Thompson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2021)</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males on Maracá-Jipioca had significantly larger home ranges than females. While this pattern is consistent with jaguars’ known sex-specific space use, the absolute home-range sizes recorded on Maracá-Jipioca are remarkably small compared to those documented in other biomes. Here, the average home-range size across all monitored individuals was 51.9 km², with males averaging 77.8 km² and females just 19.5 km². In contrast, in the Amazon </w:t>
      </w:r>
      <w:r w:rsidRPr="00D11827">
        <w:rPr>
          <w:rFonts w:ascii="Times New Roman" w:hAnsi="Times New Roman" w:cs="Times New Roman"/>
          <w:color w:val="000000" w:themeColor="text1"/>
        </w:rPr>
        <w:lastRenderedPageBreak/>
        <w:t xml:space="preserve">mainland biome, for example, males had an average home-range size of 211.6 km², versus 68.4 km² for females. In the Atlantic Forest, male and female ranges can exceed 460 km² and 260 km², respectively. Jaguars in the Pantanal, a prey-rich floodplain, still maintain larger average ranges than those on Maracá-Jipioca, with males spanning up to 152.4 km² and females up to 52.0 km². The Cerrado, with its open savannah landscapes, features some of the largest reported ranges, with individual males reaching 1,268.6 km²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{"citationID":"Fh8xL0dW","properties":{"formattedCitation":"(Morato {\\i{}et al.} 2016)","plainCitation":"(Morato et al. 2016)","noteIndex":0},"citationItems":[{"id":7941,"uris":["http://zotero.org/users/11476620/items/WI2JA44T"],"itemData":{"id":7941,"type":"article-journal","container-title":"PLOS ONE","DOI":"10.1371/journal.pone.0168176","ISSN":"1932-6203","issue":"12","journalAbbreviation":"PLoS ONE","language":"en","page":"e0168176","source":"DOI.org (Crossref)","title":"Space Use and Movement of a Neotropical Top Predator: The Endangered Jaguar","title-short":"Space Use and Movement of a Neotropical Top Predator","volume":"11","author":[{"family":"Morato","given":"Ronaldo G."},{"family":"Stabach","given":"Jared A."},{"family":"Fleming","given":"Chris H."},{"family":"Calabrese","given":"Justin M."},{"family":"De Paula","given":"Rogério C."},{"family":"Ferraz","given":"Kátia M. P. M."},{"family":"Kantek","given":"Daniel L. Z."},{"family":"Miyazaki","given":"Selma S."},{"family":"Pereira","given":"Thadeu D. C."},{"family":"Araujo","given":"Gediendson R."},{"family":"Paviolo","given":"Agustin"},{"family":"De Angelo","given":"Carlos"},{"family":"Di Bitetti","given":"Mario S."},{"family":"Cruz","given":"Paula"},{"family":"Lima","given":"Fernando"},{"family":"Cullen","given":"Laury"},{"family":"Sana","given":"Denis A."},{"family":"Ramalho","given":"Emiliano E."},{"family":"Carvalho","given":"Marina M."},{"family":"Soares","given":"Fábio H. S."},{"family":"Zimbres","given":"Barbara"},{"family":"Silva","given":"Marina X."},{"family":"Moraes","given":"Marcela D. F."},{"family":"Vogliotti","given":"Alexandre"},{"family":"May","given":"Joares A."},{"family":"Haberfeld","given":"Mario"},{"family":"Rampim","given":"Lilian"},{"family":"Sartorello","given":"Leonardo"},{"family":"Ribeiro","given":"Milton C."},{"family":"Leimgruber","given":"Peter"}],"editor":[{"family":"Stöck","given":"Matthias"}],"issued":{"date-parts":[["2016",12,28]]}}}],"schema":"https://github.com/citation-style-language/schema/raw/master/csl-citation.json"}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(Morato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2016)</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Recent meta-analyses confirm that home-range size increases with road density and decreases with forest cover and net primary productivity (NPP), with degraded areas demanding larger ranges for males in particular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{"citationID":"xHdWh4dV","properties":{"formattedCitation":"(Thompson {\\i{}et al.} 2021)","plainCitation":"(Thompson et al. 2021)","noteIndex":0},"citationItems":[{"id":8024,"uris":["http://zotero.org/users/11476620/items/XJLP93KU"],"itemData":{"id":8024,"type":"article-journal","container-title":"Current Biology","DOI":"10.1016/j.cub.2021.06.029","ISSN":"09609822","issue":"15","journalAbbreviation":"Current Biology","language":"en","page":"3457-3466.e4","source":"DOI.org (Crossref)","title":"Environmental and anthropogenic factors synergistically affect space use of jaguars","volume":"31","author":[{"family":"Thompson","given":"Jeffrey J."},{"family":"Morato","given":"Ronaldo G."},{"family":"Niebuhr","given":"Bernardo B."},{"family":"Alegre","given":"Vanesa Bejarano"},{"family":"Oshima","given":"Júlia Emi F."},{"family":"De Barros","given":"Alan E."},{"family":"Paviolo","given":"Agustín"},{"family":"De La Torre","given":"J. Antonio"},{"family":"Lima","given":"Fernando"},{"family":"McBride","given":"Roy T."},{"family":"Cunha De Paula","given":"Rogerio"},{"family":"Cullen","given":"Laury"},{"family":"Silveira","given":"Leandro"},{"family":"Kantek","given":"Daniel L.Z."},{"family":"Ramalho","given":"Emiliano E."},{"family":"Maranhão","given":"Louise"},{"family":"Haberfeld","given":"Mario"},{"family":"Sana","given":"Denis A."},{"family":"Medellin","given":"Rodrigo A."},{"family":"Carrillo","given":"Eduardo"},{"family":"Montalvo","given":"Victor H."},{"family":"Monroy-Vilchis","given":"Octavio"},{"family":"Cruz","given":"Paula"},{"family":"Jacomo","given":"Anah T.A."},{"family":"Alves","given":"Giselle B."},{"family":"Cassaigne","given":"Ivonne"},{"family":"Thompson","given":"Ron"},{"family":"Sáenz-Bolaños","given":"Carolina"},{"family":"Cruz","given":"Juan Carlos"},{"family":"Alfaro","given":"Luis D."},{"family":"Hagnauer","given":"Isabel"},{"family":"Xavier Da Silva","given":"Marina"},{"family":"Vogliotti","given":"Alexandre"},{"family":"Moraes","given":"Marcela F.D."},{"family":"Miyazaki","given":"Selma S."},{"family":"Araujo","given":"Gediendson R."},{"family":"Cruz Da Silva","given":"Leanes"},{"family":"Leuzinger","given":"Lucas"},{"family":"Carvalho","given":"Marina M."},{"family":"Rampim","given":"Lilian"},{"family":"Sartorello","given":"Leonardo"},{"family":"Quigley","given":"Howard"},{"family":"Tortato","given":"Fernando R."},{"family":"Hoogesteijn","given":"Rafael"},{"family":"Crawshaw","given":"Peter G."},{"family":"Devlin","given":"Allison L."},{"family":"May Júnior","given":"Joares A."},{"family":"Powell","given":"George V.N."},{"family":"Tobler","given":"Mathias W."},{"family":"Carrillo-Percastegui","given":"Samia E."},{"family":"Payán","given":"Estebán"},{"family":"Azevedo","given":"Fernando C.C."},{"family":"Concone","given":"Henrique V.B."},{"family":"Quiroga","given":"Verónica A."},{"family":"Costa","given":"Sebastián A."},{"family":"Arrabal","given":"Juan P."},{"family":"Vanderhoeven","given":"Ezequiel"},{"family":"Di Blanco","given":"Yamil E."},{"family":"Lopes","given":"Alexandre M.C."},{"family":"Ribeiro","given":"Milton Cezar"}],"issued":{"date-parts":[["2021",8]]}}}],"schema":"https://github.com/citation-style-language/schema/raw/master/csl-citation.json"}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(Thompson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2021)</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These contrasts suggest that the spatial constraints imposed by island geography, possibly in combination with adequate prey availability and minimal anthropogenic pressure, are contributing to reduced home range sizes. However, it remains possible that seasonal prey fluctuations, competition, or undetected individual turnover could also play a role. Similar patterns have been observed in floodplain systems with low human impact, such as Taiamã Ecological Station in the Pantanal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{"citationID":"zEUyd1Gw","properties":{"formattedCitation":"(Eriksson {\\i{}et al.} 2022)","plainCitation":"(Eriksson et al. 2022)","noteIndex":0},"citationItems":[{"id":7973,"uris":["http://zotero.org/users/11476620/items/ITEUCV7T"],"itemData":{"id":7973,"type":"article-journal","abstract":"Abstract\n            \n              Energetic subsidies between terrestrial and aquatic ecosystems can strongly influence food webs and population dynamics. Our objective was to study how aquatic subsidies affected jaguar (\n              Panthera onca\n              ) diet, sociality, and population density in a seasonally flooded protected area in the Brazilian Pantanal. The diet (\n              n\n               = 138 scats) was dominated by fish (46%) and aquatic reptiles (55%), representing the first jaguar population known to feed extensively on fish and to minimally consume mammals (11%). These aquatic subsidies supported the highest jaguar population density estimate to date (12.4 jaguars/100 km²) derived from camera traps (8,065 trap nights) and GPS collars (\n              n\n               = 13). Contrary to their mostly solitary behavior elsewhere, we documented social interactions previously unobserved between same‐sex adults including cooperative fishing, co‐traveling, and play. Our study demonstrates that aquatic subsidies, frequently described in omnivores, can also transform the ecology and behavior of obligate carnivores.","container-title":"Ecology","DOI":"10.1002/ecy.3543","ISSN":"0012-9658, 1939-9170","issue":"1","journalAbbreviation":"Ecology","language":"en","page":"e03543","source":"DOI.org (Crossref)","title":"Extensive aquatic subsidies lead to territorial breakdown and high density of an apex predator","volume":"103","author":[{"family":"Eriksson","given":"Charlotte E."},{"family":"Kantek","given":"Daniel L. Z."},{"family":"Miyazaki","given":"Selma S."},{"family":"Morato","given":"Ronaldo G."},{"family":"Dos Santos‐Filho","given":"Manoel"},{"family":"Ruprecht","given":"Joel S."},{"family":"Peres","given":"Carlos A."},{"family":"Levi","given":"Taal"}],"issued":{"date-parts":[["2022",1]]}}}],"schema":"https://github.com/citation-style-language/schema/raw/master/csl-citation.json"}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(Eriksson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2022)</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further supporting the idea that high productivity and low disturbance can enable compact territoriality. Indeed, Alvarenga et al. (2025) and Morant et al. (2025) demonstrated that highly productive, roadless floodplain systems can sustain higher-than-average jaguar densities with correspondingly compact ranges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{"citationID":"4OiUPYYX","properties":{"formattedCitation":"(Alvarenga {\\i{}et al.} 2025, Morant {\\i{}et al.} 2025)","plainCitation":"(Alvarenga et al. 2025, Morant et al. 2025)","noteIndex":0},"citationItems":[{"id":8015,"uris":["http://zotero.org/users/11476620/items/XX57LMKY"],"itemData":{"id":8015,"type":"article-journal","container-title":"Biological Conservation","DOI":"10.1016/j.biocon.2025.111010","ISSN":"00063207","journalAbbreviation":"Biological Conservation","language":"en","page":"111010","source":"DOI.org (Crossref)","title":"Jaguar (Panthera onca) density and population size across protected areas and indigenous lands in the Amazon biome, its largest stronghold","volume":"303","author":[{"family":"Alvarenga","given":"Guilherme Costa"},{"family":"Tobler","given":"Mathias W."},{"family":"Boron","given":"Valeria"},{"family":"De Carvalho Jr","given":"Elildo Alves Ribeiro"},{"family":"Morato","given":"Ronaldo Gonçalves"},{"family":"Endo","given":"Whaldener"},{"family":"Mendonça","given":"Eloisa Neves"},{"family":"Sampaio","given":"Ricardo"},{"family":"Durigan","given":"Carlos César"},{"family":"Gonçalves","given":"André Luis Sousa"},{"family":"Ramalho","given":"Emiliano Esterci"},{"family":"Pezzuti","given":"Juarez Carlos Brito"},{"family":"De Paula","given":"Milton José"},{"family":"Antunes","given":"André Pinassi"},{"family":"Mena","given":"José Luis"},{"family":"Dupont","given":"Gates"},{"family":"Spironello","given":"Wilson"},{"family":"Pacheco","given":"Jessica"},{"family":"La Rosa-Camino","given":"Fabiola"},{"family":"Cabrera","given":"Jaime"},{"family":"Montanarin","given":"Anelise"},{"family":"Da Costa","given":"Marcelo Oliveira"}],"issued":{"date-parts":[["2025",3]]}},"label":"page"},{"id":8018,"uris":["http://zotero.org/users/11476620/items/LVTFMLY7"],"itemData":{"id":8018,"type":"article-journal","container-title":"Biological Conservation","DOI":"10.1016/j.biocon.2025.111278","ISSN":"00063207","journalAbbreviation":"Biological Conservation","language":"en","page":"111278","source":"DOI.org (Crossref)","title":"Low human disturbance levels alter movement patterns and induce behavioural changes in an apex predator","volume":"309","author":[{"family":"Morant","given":"Jon"},{"family":"González","given":"Esther Sebastián"},{"family":"Tambosi","given":"Leandro Reverberi"},{"family":"De Barros","given":"Alan Eduardo"},{"family":"De Araujo","given":"Gediendson Ribeiro"},{"family":"De Deco Souza","given":"Thyara"},{"family":"Moreira","given":"Renato A."},{"family":"Tórres","given":"Natália Mundim"},{"family":"Da Silva","given":"Maite Cardoso Coelho"},{"family":"Leuzinger","given":"Lucas"},{"family":"Oliveira","given":"Gustavo"},{"family":"Alves","given":"Giselle Bastos"},{"family":"Palmeira","given":"Francesca Belem Lopes"},{"family":"Jácomo","given":"Anah T.A."},{"family":"Silveira","given":"Leandro"}],"issued":{"date-parts":[["2025",9]]}},"label":"page"}],"schema":"https://github.com/citation-style-language/schema/raw/master/csl-citation.json"}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(Alvarenga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2025, Morant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2025)</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w:t>
      </w:r>
    </w:p>
    <w:p w14:paraId="752FC457" w14:textId="0A9F2B66" w:rsidR="003D4EB1" w:rsidRPr="00D11827" w:rsidRDefault="00000000" w:rsidP="00D11827">
      <w:pPr>
        <w:spacing w:after="60" w:line="480" w:lineRule="auto"/>
        <w:ind w:firstLine="720"/>
        <w:rPr>
          <w:rFonts w:ascii="Times New Roman" w:hAnsi="Times New Roman" w:cs="Times New Roman"/>
          <w:color w:val="000000" w:themeColor="text1"/>
        </w:rPr>
      </w:pPr>
      <w:r w:rsidRPr="00D11827">
        <w:rPr>
          <w:rFonts w:ascii="Times New Roman" w:hAnsi="Times New Roman" w:cs="Times New Roman"/>
          <w:color w:val="000000" w:themeColor="text1"/>
        </w:rPr>
        <w:t xml:space="preserve">Despite the limited area on Maracá-Jipioca, overlap between home ranges remained low (mean overlap: 0.24). Although this was comparable to the amount of overlap observed  in a comparatively social population of jaguars in the Pantanal that specialized on aquatic prey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{"citationID":"jMSfbq1H","properties":{"formattedCitation":"(Eriksson {\\i{}et al.} 2022)","plainCitation":"(Eriksson et al. 2022)","noteIndex":0},"citationItems":[{"id":7973,"uris":["http://zotero.org/users/11476620/items/ITEUCV7T"],"itemData":{"id":7973,"type":"article-journal","abstract":"Abstract\n            \n              Energetic subsidies between terrestrial and aquatic ecosystems can strongly influence food webs and population dynamics. Our objective was to study how aquatic subsidies affected jaguar (\n              Panthera onca\n              ) diet, sociality, and population density in a seasonally flooded protected area in the Brazilian Pantanal. The diet (\n              n\n               = 138 scats) was dominated by fish (46%) and aquatic reptiles (55%), representing the first jaguar population known to feed extensively on fish and to minimally consume mammals (11%). These aquatic subsidies supported the highest jaguar population density estimate to date (12.4 jaguars/100 km²) derived from camera traps (8,065 trap nights) and GPS collars (\n              n\n               = 13). Contrary to their mostly solitary behavior elsewhere, we documented social interactions previously unobserved between same‐sex adults including cooperative fishing, co‐traveling, and play. Our study demonstrates that aquatic subsidies, frequently described in omnivores, can also transform the ecology and behavior of obligate carnivores.","container-title":"Ecology","DOI":"10.1002/ecy.3543","ISSN":"0012-9658, 1939-9170","issue":"1","journalAbbreviation":"Ecology","language":"en","page":"e03543","source":"DOI.org (Crossref)","title":"Extensive aquatic subsidies lead to territorial breakdown and high density of an apex predator","volume":"103","author":[{"family":"Eriksson","given":"Charlotte E."},{"family":"Kantek","given":"Daniel L. Z."},{"family":"Miyazaki","given":"Selma S."},{"family":"Morato","given":"Ronaldo G."},{"family":"Dos Santos‐Filho","given":"Manoel"},{"family":"Ruprecht","given":"Joel S."},{"family":"Peres","given":"Carlos A."},{"family":"Levi","given":"Taal"}],"issued":{"date-parts":[["2022",1]]}}}],"schema":"https://github.com/citation-style-language/schema/raw/master/csl-citation.json"}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(Eriksson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2022)</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direct encounters between individuals were rare. Only 33 encounter events were detected during the entire tracking period, with the majority involving male–female pairs and only three between males. Notably, these male–male encounters </w:t>
      </w:r>
      <w:r w:rsidRPr="00D11827">
        <w:rPr>
          <w:rFonts w:ascii="Times New Roman" w:hAnsi="Times New Roman" w:cs="Times New Roman"/>
          <w:color w:val="000000" w:themeColor="text1"/>
        </w:rPr>
        <w:lastRenderedPageBreak/>
        <w:t xml:space="preserve">occurred between a single pair of individuals with the highest home-range overlap, suggesting that while spatial tolerance may increase under aquatic prey bases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{"citationID":"yidbRTgq","properties":{"formattedCitation":"(Eriksson {\\i{}et al.} 2022)","plainCitation":"(Eriksson et al. 2022)","noteIndex":0},"citationItems":[{"id":7973,"uris":["http://zotero.org/users/11476620/items/ITEUCV7T"],"itemData":{"id":7973,"type":"article-journal","abstract":"Abstract\n            \n              Energetic subsidies between terrestrial and aquatic ecosystems can strongly influence food webs and population dynamics. Our objective was to study how aquatic subsidies affected jaguar (\n              Panthera onca\n              ) diet, sociality, and population density in a seasonally flooded protected area in the Brazilian Pantanal. The diet (\n              n\n               = 138 scats) was dominated by fish (46%) and aquatic reptiles (55%), representing the first jaguar population known to feed extensively on fish and to minimally consume mammals (11%). These aquatic subsidies supported the highest jaguar population density estimate to date (12.4 jaguars/100 km²) derived from camera traps (8,065 trap nights) and GPS collars (\n              n\n               = 13). Contrary to their mostly solitary behavior elsewhere, we documented social interactions previously unobserved between same‐sex adults including cooperative fishing, co‐traveling, and play. Our study demonstrates that aquatic subsidies, frequently described in omnivores, can also transform the ecology and behavior of obligate carnivores.","container-title":"Ecology","DOI":"10.1002/ecy.3543","ISSN":"0012-9658, 1939-9170","issue":"1","journalAbbreviation":"Ecology","language":"en","page":"e03543","source":"DOI.org (Crossref)","title":"Extensive aquatic subsidies lead to territorial breakdown and high density of an apex predator","volume":"103","author":[{"family":"Eriksson","given":"Charlotte E."},{"family":"Kantek","given":"Daniel L. Z."},{"family":"Miyazaki","given":"Selma S."},{"family":"Morato","given":"Ronaldo G."},{"family":"Dos Santos‐Filho","given":"Manoel"},{"family":"Ruprecht","given":"Joel S."},{"family":"Peres","given":"Carlos A."},{"family":"Levi","given":"Taal"}],"issued":{"date-parts":[["2022",1]]}}}],"schema":"https://github.com/citation-style-language/schema/raw/master/csl-citation.json"}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(Eriksson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2022)</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restricted or high-density conditions, direct interactions may still remain infrequent. These observations suggest a capacity to maintain territorial spacing even under spatially restricted conditions. However, given the limited number of collared individuals and the possibility of undetected residents or transients, this conclusion should be considered tentative. Similar low-overlap patterns have been recorded in mainland forested habitats with high prey abundance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{"citationID":"bgdP9SEW","properties":{"formattedCitation":"(Morant {\\i{}et al.} 2025)","plainCitation":"(Morant et al. 2025)","noteIndex":0},"citationItems":[{"id":8018,"uris":["http://zotero.org/users/11476620/items/LVTFMLY7"],"itemData":{"id":8018,"type":"article-journal","container-title":"Biological Conservation","DOI":"10.1016/j.biocon.2025.111278","ISSN":"00063207","journalAbbreviation":"Biological Conservation","language":"en","page":"111278","source":"DOI.org (Crossref)","title":"Low human disturbance levels alter movement patterns and induce behavioural changes in an apex predator","volume":"309","author":[{"family":"Morant","given":"Jon"},{"family":"González","given":"Esther Sebastián"},{"family":"Tambosi","given":"Leandro Reverberi"},{"family":"De Barros","given":"Alan Eduardo"},{"family":"De Araujo","given":"Gediendson Ribeiro"},{"family":"De Deco Souza","given":"Thyara"},{"family":"Moreira","given":"Renato A."},{"family":"Tórres","given":"Natália Mundim"},{"family":"Da Silva","given":"Maite Cardoso Coelho"},{"family":"Leuzinger","given":"Lucas"},{"family":"Oliveira","given":"Gustavo"},{"family":"Alves","given":"Giselle Bastos"},{"family":"Palmeira","given":"Francesca Belem Lopes"},{"family":"Jácomo","given":"Anah T.A."},{"family":"Silveira","given":"Leandro"}],"issued":{"date-parts":[["2025",9]]}}}],"schema":"https://github.com/citation-style-language/schema/raw/master/csl-citation.json"}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(Morant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2025)</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suggesting that insularity alone may not fully explain this behaviour. This pattern contrasts with findings from the Pantanal, where radiocollared males have shown extensive home-range overlap and were located within 200 m of each other more frequently than expected by chance, indicating some degree of spatial tolerance or sociality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{"citationID":"U637SN9y","properties":{"formattedCitation":"(Cavalcanti &amp; Gese 2009)","plainCitation":"(Cavalcanti &amp; Gese 2009)","noteIndex":0},"citationItems":[{"id":7990,"uris":["http://zotero.org/users/11476620/items/JSLRBGWF"],"itemData":{"id":7990,"type":"article-journal","abstract":"The Pantanal of Brazil is an important area for the conservation of jaguars (Panthera oncd). As the size of traditional large ranches in the Pantanal decreases, human access to jaguar habitat increases, resulting in human-altered landscapes that may influence patterns of resource selection and space use by jaguars. We used global positioning system radiocollars to study jaguars in the southern Pantanal. We radiocollared 10 jaguars (6 males and 4 females), obtained 11,787 locations, and examined their space use, movement rates, and social interactions between October 2001 and April 2004. Estimates of 90% kernel home ranges varied among animals and seasons (range: 34.1–262.9 km2). Core areas (50% isopleth) of both females and males did not differ in size between seasons, but home ranges (90% isopleth) during the dry season were generally larger than during the wet season. The stability of home ranges varied among seasons and individuals. Some females maintained ≥80% of their home ranges from 1 season to the next, whereas other females used ≤50% of their home ranges from the previous season. Site fidelity within individual home ranges also varied; ≥70% of the core areas of some females were located in different sites within their home ranges during different seasons. Locations of females suggested a pattern of spatial avoidance among females during the wet season. Home-range overlap among males was extensive, both in the wet and dry seasons, suggesting that males did not maintain exclusive ranges. Overlap between males and females occurred both in the wet and dry seasons, and movements by females were not restricted within the ranges of individual males. Jaguars were located &amp;lt;200 m apart more often than expected, suggesting some degree of sociality. The reproductive profiles of females suggested either a low conception rate, a low survival rate of young, or that jaguars may be more social than previously thought. Interactions among males also suggested some degree of sociality.","container-title":"Journal of Mammalogy","DOI":"10.1644/08-MAMM-A-188.1","ISSN":"0022-2372","issue":"4","journalAbbreviation":"Journal of Mammalogy","page":"935-945","source":"Silverchair","title":"Spatial Ecology and Social Interactions of Jaguars (Panthera onca) in the Southern Pantanal, Brazil","volume":"90","author":[{"family":"Cavalcanti","given":"Sandra M. C."},{"family":"Gese","given":"Eric M."}],"issued":{"date-parts":[["2009",8,14]]}}}],"schema":"https://github.com/citation-style-language/schema/raw/master/csl-citation.json"} </w:instrText>
      </w:r>
      <w:r w:rsidRPr="00D11827">
        <w:rPr>
          <w:rFonts w:ascii="Times New Roman" w:hAnsi="Times New Roman" w:cs="Times New Roman"/>
          <w:color w:val="000000" w:themeColor="text1"/>
        </w:rPr>
        <w:fldChar w:fldCharType="separate"/>
      </w:r>
      <w:r w:rsidR="00E21B60">
        <w:rPr>
          <w:rFonts w:ascii="Times New Roman" w:hAnsi="Times New Roman" w:cs="Times New Roman"/>
          <w:color w:val="000000" w:themeColor="text1"/>
        </w:rPr>
        <w:t>(Cavalcanti &amp; Gese 2009)</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However, even in that context, social interactions remained limited and did not deviate substantially from the species’ broadly solitary social structure. That jaguars on Maracá-Jipioca maintain low overlap and rare direct contact, even in a flooded, resource-accessible, and spatially restricted setting, shows their capacity to preserve territorial spacing. Such spacing behaviour is consistent with optimal territory partitioning observed in high-quality habitats with minimal human risk, where competition is mitigated by abundant resources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{"citationID":"LlVulyZm","properties":{"formattedCitation":"(Morant {\\i{}et al.} 2025)","plainCitation":"(Morant et al. 2025)","noteIndex":0},"citationItems":[{"id":8018,"uris":["http://zotero.org/users/11476620/items/LVTFMLY7"],"itemData":{"id":8018,"type":"article-journal","container-title":"Biological Conservation","DOI":"10.1016/j.biocon.2025.111278","ISSN":"00063207","journalAbbreviation":"Biological Conservation","language":"en","page":"111278","source":"DOI.org (Crossref)","title":"Low human disturbance levels alter movement patterns and induce behavioural changes in an apex predator","volume":"309","author":[{"family":"Morant","given":"Jon"},{"family":"González","given":"Esther Sebastián"},{"family":"Tambosi","given":"Leandro Reverberi"},{"family":"De Barros","given":"Alan Eduardo"},{"family":"De Araujo","given":"Gediendson Ribeiro"},{"family":"De Deco Souza","given":"Thyara"},{"family":"Moreira","given":"Renato A."},{"family":"Tórres","given":"Natália Mundim"},{"family":"Da Silva","given":"Maite Cardoso Coelho"},{"family":"Leuzinger","given":"Lucas"},{"family":"Oliveira","given":"Gustavo"},{"family":"Alves","given":"Giselle Bastos"},{"family":"Palmeira","given":"Francesca Belem Lopes"},{"family":"Jácomo","given":"Anah T.A."},{"family":"Silveira","given":"Leandro"}],"issued":{"date-parts":[["2025",9]]}}}],"schema":"https://github.com/citation-style-language/schema/raw/master/csl-citation.json"}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(Morant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2025)</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However, it is also possible that not all animals in the area were captured and equipped with GPS devices, so our findings in this regard should be interpreted with caution.</w:t>
      </w:r>
    </w:p>
    <w:p w14:paraId="448C4214" w14:textId="4E2624EA" w:rsidR="003D4EB1" w:rsidRPr="00D11827" w:rsidRDefault="00000000" w:rsidP="00D11827">
      <w:pPr>
        <w:spacing w:after="60" w:line="480" w:lineRule="auto"/>
        <w:ind w:firstLine="720"/>
        <w:rPr>
          <w:rFonts w:ascii="Times New Roman" w:hAnsi="Times New Roman" w:cs="Times New Roman"/>
          <w:color w:val="000000" w:themeColor="text1"/>
        </w:rPr>
      </w:pPr>
      <w:r w:rsidRPr="00D11827">
        <w:rPr>
          <w:rFonts w:ascii="Times New Roman" w:hAnsi="Times New Roman" w:cs="Times New Roman"/>
          <w:color w:val="000000" w:themeColor="text1"/>
        </w:rPr>
        <w:t xml:space="preserve">We estimated the average daily movement on Maracá-Jipioca Island to be 7.3 km/day, with no significant differences observed between males and females or across age and body size classes. These values are consistent with the upper range of those observed in other Brazilian biomes. In the Amazon, for example, average daily travel for GPS-tracked jaguars ranged from 2.3 to 5.9 km/day, in the Atlantic Forest, movement rates were generally higher, </w:t>
      </w:r>
      <w:r w:rsidRPr="00D11827">
        <w:rPr>
          <w:rFonts w:ascii="Times New Roman" w:hAnsi="Times New Roman" w:cs="Times New Roman"/>
          <w:color w:val="000000" w:themeColor="text1"/>
        </w:rPr>
        <w:lastRenderedPageBreak/>
        <w:t xml:space="preserve">reaching up to 15.4 km/day for males and 11.5 km/day for females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{"citationID":"K6VrDuY9","properties":{"formattedCitation":"(Morato {\\i{}et al.} 2016)","plainCitation":"(Morato et al. 2016)","noteIndex":0},"citationItems":[{"id":7941,"uris":["http://zotero.org/users/11476620/items/WI2JA44T"],"itemData":{"id":7941,"type":"article-journal","container-title":"PLOS ONE","DOI":"10.1371/journal.pone.0168176","ISSN":"1932-6203","issue":"12","journalAbbreviation":"PLoS ONE","language":"en","page":"e0168176","source":"DOI.org (Crossref)","title":"Space Use and Movement of a Neotropical Top Predator: The Endangered Jaguar","title-short":"Space Use and Movement of a Neotropical Top Predator","volume":"11","author":[{"family":"Morato","given":"Ronaldo G."},{"family":"Stabach","given":"Jared A."},{"family":"Fleming","given":"Chris H."},{"family":"Calabrese","given":"Justin M."},{"family":"De Paula","given":"Rogério C."},{"family":"Ferraz","given":"Kátia M. P. M."},{"family":"Kantek","given":"Daniel L. Z."},{"family":"Miyazaki","given":"Selma S."},{"family":"Pereira","given":"Thadeu D. C."},{"family":"Araujo","given":"Gediendson R."},{"family":"Paviolo","given":"Agustin"},{"family":"De Angelo","given":"Carlos"},{"family":"Di Bitetti","given":"Mario S."},{"family":"Cruz","given":"Paula"},{"family":"Lima","given":"Fernando"},{"family":"Cullen","given":"Laury"},{"family":"Sana","given":"Denis A."},{"family":"Ramalho","given":"Emiliano E."},{"family":"Carvalho","given":"Marina M."},{"family":"Soares","given":"Fábio H. S."},{"family":"Zimbres","given":"Barbara"},{"family":"Silva","given":"Marina X."},{"family":"Moraes","given":"Marcela D. F."},{"family":"Vogliotti","given":"Alexandre"},{"family":"May","given":"Joares A."},{"family":"Haberfeld","given":"Mario"},{"family":"Rampim","given":"Lilian"},{"family":"Sartorello","given":"Leonardo"},{"family":"Ribeiro","given":"Milton C."},{"family":"Leimgruber","given":"Peter"}],"editor":[{"family":"Stöck","given":"Matthias"}],"issued":{"date-parts":[["2016",12,28]]}}}],"schema":"https://github.com/citation-style-language/schema/raw/master/csl-citation.json"}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(Morato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2016)</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In the Pantanal, daily travel distances varied widely, with some individuals traveling 8.9–11.4 km/day, while others showed slower movement at 4.0 km/day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{"citationID":"ZVlYtLbp","properties":{"formattedCitation":"(Morato {\\i{}et al.} 2016)","plainCitation":"(Morato et al. 2016)","noteIndex":0},"citationItems":[{"id":7941,"uris":["http://zotero.org/users/11476620/items/WI2JA44T"],"itemData":{"id":7941,"type":"article-journal","container-title":"PLOS ONE","DOI":"10.1371/journal.pone.0168176","ISSN":"1932-6203","issue":"12","journalAbbreviation":"PLoS ONE","language":"en","page":"e0168176","source":"DOI.org (Crossref)","title":"Space Use and Movement of a Neotropical Top Predator: The Endangered Jaguar","title-short":"Space Use and Movement of a Neotropical Top Predator","volume":"11","author":[{"family":"Morato","given":"Ronaldo G."},{"family":"Stabach","given":"Jared A."},{"family":"Fleming","given":"Chris H."},{"family":"Calabrese","given":"Justin M."},{"family":"De Paula","given":"Rogério C."},{"family":"Ferraz","given":"Kátia M. P. M."},{"family":"Kantek","given":"Daniel L. Z."},{"family":"Miyazaki","given":"Selma S."},{"family":"Pereira","given":"Thadeu D. C."},{"family":"Araujo","given":"Gediendson R."},{"family":"Paviolo","given":"Agustin"},{"family":"De Angelo","given":"Carlos"},{"family":"Di Bitetti","given":"Mario S."},{"family":"Cruz","given":"Paula"},{"family":"Lima","given":"Fernando"},{"family":"Cullen","given":"Laury"},{"family":"Sana","given":"Denis A."},{"family":"Ramalho","given":"Emiliano E."},{"family":"Carvalho","given":"Marina M."},{"family":"Soares","given":"Fábio H. S."},{"family":"Zimbres","given":"Barbara"},{"family":"Silva","given":"Marina X."},{"family":"Moraes","given":"Marcela D. F."},{"family":"Vogliotti","given":"Alexandre"},{"family":"May","given":"Joares A."},{"family":"Haberfeld","given":"Mario"},{"family":"Rampim","given":"Lilian"},{"family":"Sartorello","given":"Leonardo"},{"family":"Ribeiro","given":"Milton C."},{"family":"Leimgruber","given":"Peter"}],"editor":[{"family":"Stöck","given":"Matthias"}],"issued":{"date-parts":[["2016",12,28]]}}}],"schema":"https://github.com/citation-style-language/schema/raw/master/csl-citation.json"}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(Morato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2016)</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These data place Maracá-Jipioca jaguars within the broader range of movement speeds observed across Brazilian biomes, though cross-study comparisons are complicated by differences in GPS fix intervals, sampling durations, and terrain features.. Taken together with studies from the Atlantic Forest, Pantanal, and Cerrado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{"citationID":"Gyat1xo6","properties":{"formattedCitation":"(Morato {\\i{}et al.} 2016)","plainCitation":"(Morato et al. 2016)","noteIndex":0},"citationItems":[{"id":7941,"uris":["http://zotero.org/users/11476620/items/WI2JA44T"],"itemData":{"id":7941,"type":"article-journal","container-title":"PLOS ONE","DOI":"10.1371/journal.pone.0168176","ISSN":"1932-6203","issue":"12","journalAbbreviation":"PLoS ONE","language":"en","page":"e0168176","source":"DOI.org (Crossref)","title":"Space Use and Movement of a Neotropical Top Predator: The Endangered Jaguar","title-short":"Space Use and Movement of a Neotropical Top Predator","volume":"11","author":[{"family":"Morato","given":"Ronaldo G."},{"family":"Stabach","given":"Jared A."},{"family":"Fleming","given":"Chris H."},{"family":"Calabrese","given":"Justin M."},{"family":"De Paula","given":"Rogério C."},{"family":"Ferraz","given":"Kátia M. P. M."},{"family":"Kantek","given":"Daniel L. Z."},{"family":"Miyazaki","given":"Selma S."},{"family":"Pereira","given":"Thadeu D. C."},{"family":"Araujo","given":"Gediendson R."},{"family":"Paviolo","given":"Agustin"},{"family":"De Angelo","given":"Carlos"},{"family":"Di Bitetti","given":"Mario S."},{"family":"Cruz","given":"Paula"},{"family":"Lima","given":"Fernando"},{"family":"Cullen","given":"Laury"},{"family":"Sana","given":"Denis A."},{"family":"Ramalho","given":"Emiliano E."},{"family":"Carvalho","given":"Marina M."},{"family":"Soares","given":"Fábio H. S."},{"family":"Zimbres","given":"Barbara"},{"family":"Silva","given":"Marina X."},{"family":"Moraes","given":"Marcela D. F."},{"family":"Vogliotti","given":"Alexandre"},{"family":"May","given":"Joares A."},{"family":"Haberfeld","given":"Mario"},{"family":"Rampim","given":"Lilian"},{"family":"Sartorello","given":"Leonardo"},{"family":"Ribeiro","given":"Milton C."},{"family":"Leimgruber","given":"Peter"}],"editor":[{"family":"Stöck","given":"Matthias"}],"issued":{"date-parts":[["2016",12,28]]}}}],"schema":"https://github.com/citation-style-language/schema/raw/master/csl-citation.json"}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(Morato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2016)</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our results reinforce that habitat structure, more than sex or age, acts as the primary determinant of jaguar movement behaviour, both in insular and continental contexts. Morant et al. (2025) found that monthly displacement tends to increase with human footprint (up to HFI ≈ 5.6), consistent with our observation that low-disturbance conditions on Maracá-Jipioca yield moderate, stable movement rates. Despite similarities in mean speed, movement behaviour on Maracá-Jipioca was highly habitat-specific. Jaguars moved significantly faster in open habitats such as grasslands, wetlands, and even flooded areas, while slowing substantially in forests and mangroves. This contrasts with Amazonian jaguars, who primarily traverse dense forest and exhibit more constrained movement (mean: 2.3–5.9 km/day), and more closely resembles the broader and more dynamic movements of Pantanal jaguars inhabiting savannah-like mosaics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{"citationID":"wjPOS0cl","properties":{"formattedCitation":"(Morato {\\i{}et al.} 2016)","plainCitation":"(Morato et al. 2016)","noteIndex":0},"citationItems":[{"id":7941,"uris":["http://zotero.org/users/11476620/items/WI2JA44T"],"itemData":{"id":7941,"type":"article-journal","container-title":"PLOS ONE","DOI":"10.1371/journal.pone.0168176","ISSN":"1932-6203","issue":"12","journalAbbreviation":"PLoS ONE","language":"en","page":"e0168176","source":"DOI.org (Crossref)","title":"Space Use and Movement of a Neotropical Top Predator: The Endangered Jaguar","title-short":"Space Use and Movement of a Neotropical Top Predator","volume":"11","author":[{"family":"Morato","given":"Ronaldo G."},{"family":"Stabach","given":"Jared A."},{"family":"Fleming","given":"Chris H."},{"family":"Calabrese","given":"Justin M."},{"family":"De Paula","given":"Rogério C."},{"family":"Ferraz","given":"Kátia M. P. M."},{"family":"Kantek","given":"Daniel L. Z."},{"family":"Miyazaki","given":"Selma S."},{"family":"Pereira","given":"Thadeu D. C."},{"family":"Araujo","given":"Gediendson R."},{"family":"Paviolo","given":"Agustin"},{"family":"De Angelo","given":"Carlos"},{"family":"Di Bitetti","given":"Mario S."},{"family":"Cruz","given":"Paula"},{"family":"Lima","given":"Fernando"},{"family":"Cullen","given":"Laury"},{"family":"Sana","given":"Denis A."},{"family":"Ramalho","given":"Emiliano E."},{"family":"Carvalho","given":"Marina M."},{"family":"Soares","given":"Fábio H. S."},{"family":"Zimbres","given":"Barbara"},{"family":"Silva","given":"Marina X."},{"family":"Moraes","given":"Marcela D. F."},{"family":"Vogliotti","given":"Alexandre"},{"family":"May","given":"Joares A."},{"family":"Haberfeld","given":"Mario"},{"family":"Rampim","given":"Lilian"},{"family":"Sartorello","given":"Leonardo"},{"family":"Ribeiro","given":"Milton C."},{"family":"Leimgruber","given":"Peter"}],"editor":[{"family":"Stöck","given":"Matthias"}],"issued":{"date-parts":[["2016",12,28]]}}}],"schema":"https://github.com/citation-style-language/schema/raw/master/csl-citation.json"}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(Morato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2016)</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While the ecosystem composition, and insular nature of Maracá-Jipioca may be unique, the consistent finding across all regions appears to be that habitat structure, and not sex or age, is the key determinant of jaguar movement patterns. Open habitats likely promote faster, more exploratory movement in search of prey, while dense vegetation facilitates ambush hunting and cover-based travel. Maracá-Jipioca’s spatial heterogeneity and productivity, combined with its flooded margins, likely create a mosaic that supports efficient prey tracking without requiring large-fast-scale displacements.</w:t>
      </w:r>
    </w:p>
    <w:p w14:paraId="53CFD880" w14:textId="686BF675" w:rsidR="003D4EB1" w:rsidRPr="00D11827" w:rsidRDefault="00000000" w:rsidP="00D11827">
      <w:pPr>
        <w:spacing w:after="60" w:line="480" w:lineRule="auto"/>
        <w:ind w:firstLine="720"/>
        <w:rPr>
          <w:rFonts w:ascii="Times New Roman" w:hAnsi="Times New Roman" w:cs="Times New Roman"/>
          <w:color w:val="000000" w:themeColor="text1"/>
        </w:rPr>
      </w:pPr>
      <w:r w:rsidRPr="00D11827">
        <w:rPr>
          <w:rFonts w:ascii="Times New Roman" w:hAnsi="Times New Roman" w:cs="Times New Roman"/>
          <w:color w:val="000000" w:themeColor="text1"/>
        </w:rPr>
        <w:lastRenderedPageBreak/>
        <w:t xml:space="preserve">Interestingly, the activity patterns of jaguars on Maracá-Jipioca were notably distinct from those described in most continental populations. Across all individuals, activity peaked between 10:00 and 20:00, with a striking degree of diurnality. Females were particularly active during the day, whereas males exhibited a more crepuscular rhythm, suggesting a potential temporal partitioning between the sexes. In contrast, jaguars in mainland ecosystems, such as the Pantanal and Atlantic Forest, are predominantly crepuscular or nocturnal, with significantly reduced daytime activity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{"citationID":"lnXYZpU0","properties":{"formattedCitation":"(Cavalcanti &amp; Gese 2009, Morato {\\i{}et al.} 2016)","plainCitation":"(Cavalcanti &amp; Gese 2009, Morato et al. 2016)","noteIndex":0},"citationItems":[{"id":7941,"uris":["http://zotero.org/users/11476620/items/WI2JA44T"],"itemData":{"id":7941,"type":"article-journal","container-title":"PLOS ONE","DOI":"10.1371/journal.pone.0168176","ISSN":"1932-6203","issue":"12","journalAbbreviation":"PLoS ONE","language":"en","page":"e0168176","source":"DOI.org (Crossref)","title":"Space Use and Movement of a Neotropical Top Predator: The Endangered Jaguar","title-short":"Space Use and Movement of a Neotropical Top Predator","volume":"11","author":[{"family":"Morato","given":"Ronaldo G."},{"family":"Stabach","given":"Jared A."},{"family":"Fleming","given":"Chris H."},{"family":"Calabrese","given":"Justin M."},{"family":"De Paula","given":"Rogério C."},{"family":"Ferraz","given":"Kátia M. P. M."},{"family":"Kantek","given":"Daniel L. Z."},{"family":"Miyazaki","given":"Selma S."},{"family":"Pereira","given":"Thadeu D. C."},{"family":"Araujo","given":"Gediendson R."},{"family":"Paviolo","given":"Agustin"},{"family":"De Angelo","given":"Carlos"},{"family":"Di Bitetti","given":"Mario S."},{"family":"Cruz","given":"Paula"},{"family":"Lima","given":"Fernando"},{"family":"Cullen","given":"Laury"},{"family":"Sana","given":"Denis A."},{"family":"Ramalho","given":"Emiliano E."},{"family":"Carvalho","given":"Marina M."},{"family":"Soares","given":"Fábio H. S."},{"family":"Zimbres","given":"Barbara"},{"family":"Silva","given":"Marina X."},{"family":"Moraes","given":"Marcela D. F."},{"family":"Vogliotti","given":"Alexandre"},{"family":"May","given":"Joares A."},{"family":"Haberfeld","given":"Mario"},{"family":"Rampim","given":"Lilian"},{"family":"Sartorello","given":"Leonardo"},{"family":"Ribeiro","given":"Milton C."},{"family":"Leimgruber","given":"Peter"}],"editor":[{"family":"Stöck","given":"Matthias"}],"issued":{"date-parts":[["2016",12,28]]}}},{"id":7990,"uris":["http://zotero.org/users/11476620/items/JSLRBGWF"],"itemData":{"id":7990,"type":"article-journal","abstract":"The Pantanal of Brazil is an important area for the conservation of jaguars (Panthera oncd). As the size of traditional large ranches in the Pantanal decreases, human access to jaguar habitat increases, resulting in human-altered landscapes that may influence patterns of resource selection and space use by jaguars. We used global positioning system radiocollars to study jaguars in the southern Pantanal. We radiocollared 10 jaguars (6 males and 4 females), obtained 11,787 locations, and examined their space use, movement rates, and social interactions between October 2001 and April 2004. Estimates of 90% kernel home ranges varied among animals and seasons (range: 34.1–262.9 km2). Core areas (50% isopleth) of both females and males did not differ in size between seasons, but home ranges (90% isopleth) during the dry season were generally larger than during the wet season. The stability of home ranges varied among seasons and individuals. Some females maintained ≥80% of their home ranges from 1 season to the next, whereas other females used ≤50% of their home ranges from the previous season. Site fidelity within individual home ranges also varied; ≥70% of the core areas of some females were located in different sites within their home ranges during different seasons. Locations of females suggested a pattern of spatial avoidance among females during the wet season. Home-range overlap among males was extensive, both in the wet and dry seasons, suggesting that males did not maintain exclusive ranges. Overlap between males and females occurred both in the wet and dry seasons, and movements by females were not restricted within the ranges of individual males. Jaguars were located &amp;lt;200 m apart more often than expected, suggesting some degree of sociality. The reproductive profiles of females suggested either a low conception rate, a low survival rate of young, or that jaguars may be more social than previously thought. Interactions among males also suggested some degree of sociality.","container-title":"Journal of Mammalogy","DOI":"10.1644/08-MAMM-A-188.1","ISSN":"0022-2372","issue":"4","journalAbbreviation":"Journal of Mammalogy","page":"935-945","source":"Silverchair","title":"Spatial Ecology and Social Interactions of Jaguars (Panthera onca) in the Southern Pantanal, Brazil","volume":"90","author":[{"family":"Cavalcanti","given":"Sandra M. C."},{"family":"Gese","given":"Eric M."}],"issued":{"date-parts":[["2009",8,14]]}}}],"schema":"https://github.com/citation-style-language/schema/raw/master/csl-citation.json"}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(Cavalcanti &amp; Gese 2009, Morato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2016)</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These patterns are thought to reflect behavioural adaptation to avoid human presence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{"citationID":"WrJMm2Hs","properties":{"formattedCitation":"(Gaynor {\\i{}et al.} 2018)","plainCitation":"(Gaynor et al. 2018)","noteIndex":0},"citationItems":[{"id":8114,"uris":["http://zotero.org/users/11476620/items/2ISZI7UF"],"itemData":{"id":8114,"type":"article-journal","abstract":"Nocturnal refuge\n            \n              As the human population grows, there are fewer places for animals to live out their lives independently of our influence. Given our mostly diurnal tendencies, one domain that remains less affected by humans is the night. Gaynor\n              et al.\n              found that across the globe and across mammalian species—from deer to coyotes and from tigers to wild boar—animals are becoming more nocturnal (see the Perspective by Benítez-López). Human activities of all kinds, including nonlethal pastimes such as hiking, seem to drive animals to make use of hours when we are not around. Such changes may provide some relief, but they may also have ecosystem-level consequences.\n            \n            \n              Science\n              , this issue p.\n              1232\n              ; see also p.\n              1185\n            \n          , \n            Human activities are pushing animals towards a more nocturnal existence.\n          , \n            Rapid expansion of human activity has driven well-documented shifts in the spatial distribution of wildlife, but the cumulative effect of human disturbance on the temporal dynamics of animals has not been quantified. We examined anthropogenic effects on mammal diel activity patterns, conducting a meta-analysis of 76 studies of 62 species from six continents. Our global study revealed a strong effect of humans on daily patterns of wildlife activity. Animals increased their nocturnality by an average factor of 1.36 in response to human disturbance. This finding was consistent across continents, habitats, taxa, and human activities. As the global human footprint expands, temporal avoidance of humans may facilitate human-wildlife coexistence. However, such responses can result in marked shifts away from natural patterns of activity, with consequences for fitness, population persistence, community interactions, and evolution.","container-title":"Science","DOI":"10.1126/science.aar7121","ISSN":"0036-8075, 1095-9203","issue":"6394","journalAbbreviation":"Science","language":"en","page":"1232-1235","source":"DOI.org (Crossref)","title":"The influence of human disturbance on wildlife nocturnality","volume":"360","author":[{"family":"Gaynor","given":"Kaitlyn M."},{"family":"Hojnowski","given":"Cheryl E."},{"family":"Carter","given":"Neil H."},{"family":"Brashares","given":"Justin S."}],"issued":{"date-parts":[["2018",6,15]]}}}],"schema":"https://github.com/citation-style-language/schema/raw/master/csl-citation.json"}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(Gaynor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2018)</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which is largely absent from Maracá-Jipioca. Indeed, studies from Belize and other human-impacted regions have shown strong nocturnal tendencies in jaguars associated with anthropogenic disturbance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{"citationID":"E112Hco5","properties":{"formattedCitation":"(Dobbins {\\i{}et al.} 2018, Monette {\\i{}et al.} 2020)","plainCitation":"(Dobbins et al. 2018, Monette et al. 2020)","noteIndex":0},"citationItems":[{"id":7989,"uris":["http://zotero.org/users/11476620/items/VJMG7PV8"],"itemData":{"id":7989,"type":"article-journal","abstract":"Abstract\n            \n              Human disturbance from tourism and other non‐consumptive activities in protected areas may be stressful to wildlife. Animals may move away in space or time to avoid human interaction. For species of particular conservation concern, such as Baird's tapirs (\n              Tapirus bairdii)\n              and jaguars (\n              Panthera onca\n              ), a better understanding of how they respond to different levels and types of disturbance is needed in order to manage human visitation to parks in ways that minimize negative outcomes for wildlife. We describe the overlap in activity patterns of tapirs, jaguars, and humans at logged and unlogged sites and at places with low versus high human visitation using camera survey data from protected areas of NW Belize, 2013–2016. Tapirs were nocturnal in all study sites, with &gt; 80% of all tapir detections occurring between 1900 hr and 0500 hr. Their activity patterns were not different in unlogged versus logged sites and did not change with increased human traffic. Jaguars were cathemeral across sites but had more nocturnal activity at the site with the most human impact. Activity pattern overlap between tapirs and jaguars did not differ significantly between logged and unlogged sites, nor between areas with low and high human activity. Human traffic increased from 2013 to 2016 at most of the study locations. In conclusion, this camera trap dataset suggests that non‐consumptive human disturbance does not alter the activity patterns of tapirs and jaguars in protected areas lacking hunting pressure.\n            \n            Abstract in Spanish is available with online material.\n          , \n            RESUMEN\n            \n              El disturbio humano del turismo y otras actividades de no consumo en áreas protegidas pueden causar estrés a la vida silvestre. Los animales pueden alejarse en espacio y tiempo para evitar interacción humana. Para especies en conservación particularmente de preocupación, como el tapir (\n              Tapirus bairdii)\n              y el jaguar (\n              Panthera onca\n              ), un mejor entendimiento de cómo responden a diferentes niveles y tipos de disturbio son necesarios para poder gestionar las visitas humanas a los parques y minimizar de manera negativa los posibles efectos a la vida silvestre. Describimos la coincidencia de patrones de actividad en tapires, jaguares y humanos en sitios con tala y sin tala y comparamos ubicaciones de baja y altas visitas humanas usando datos de cámara de inspección de áreas protegidas en el noroeste de Belice, 2013–2016. Los tapires fueron nocturnos en todos los sitios de estudios, con &gt; 80 por ciento de todas las detecciones de tapires ocurriendo entre las 1900 hr y 0500 hr. Sus patrones de actividad no fueron diferentes entre los sitios de tala y no tala y no cambiaron con un aumento de tráfico humano. Los jaguares mostraron actividad catemeral en todos los sitios, aunque tuvieron mayor actividad nocturna en el lugar de mayor impacto humano. La coincidencia de patrones de actividad entre tapires y jaguares no cambio significativamente entre sitios talados y no talados, y tampoco entre áreas con baja o alta actividad humana. El tráfico humano aumentó del 2013–2016 en la mayoría de ubicaciones del estudio. En conclusión, los datos adquiridos usando cámara‐trampas sugieren que los disturbios humanos de no consumo no alteran patrones de actividad de tapires y jaguares en áreas protegidas carentes de presión por caza.","container-title":"Biotropica","DOI":"10.1111/btp.12834","ISSN":"0006-3606, 1744-7429","issue":"6","journalAbbreviation":"Biotropica","language":"en","page":"1262-1274","source":"DOI.org (Crossref)","title":"Human disturbance and the activity patterns and temporal overlap of tapirs and jaguars in reserves of NW Belize","volume":"52","author":[{"family":"Monette","given":"Victoria D."},{"family":"Kelly","given":"Marcella J."},{"family":"Buchholz","given":"Richard"}],"issued":{"date-parts":[["2020",11]]}}},{"id":7988,"uris":["http://zotero.org/users/11476620/items/DG3FTLN5"],"itemData":{"id":7988,"type":"article-journal","abstract":"Abstract\n            \n              Parts of southern Belize are designated as a corridor for the jaguar\n              Panthera onca\n              but the Maya region remains understudied. We therefore studied jaguar habitat use, activity patterns, and interactions with people in Blue Creek, a Maya village in a human-dominated tropical landscape in southern Belize. We used camera traps to detect jaguar presence, and interviews to assess local people's attitudes to and perceptions of jaguars. We recorded 28 independent photographic events during 1,200 camera-trap nights (i.e. a relative abundance index of 2.3 jaguars per 100 trap days). Seven individual jaguars were identified. Jaguars preferred lowland broad-leaf tropical forest and were detected more often during daylight, in contrast to findings from previous studies. Attitudes towards jaguars were largely positive: 88% of respondents (n = 48) did not fear jaguars living around the village, and 81% understood the positive effect that jaguars have on the ecosystem. Although 92% of respondents reported seeing a jaguar within the previous 2 years, attacks on livestock in the village were rare, with only two occurrences in the previous 3 years. Ecotourism has grown rapidly in Belize in recent years, and Blue Creek is home to several natural tourist attractions and an eco-lodge that brings tourists, school groups, and researchers to the village. Ecotourism has provided an economic incentive for village investment in conservation, and 94% of respondents stated that preservation of wildlife, including jaguars, was beneficial to their well-being.","container-title":"Oryx","DOI":"10.1017/S0030605317000308","ISSN":"0030-6053, 1365-3008","issue":"2","journalAbbreviation":"Oryx","language":"en","license":"https://www.cambridge.org/core/terms","page":"276-281","source":"DOI.org (Crossref)","title":"Habitat use, activity patterns and human interactions with jaguars &lt;i&gt;Panthera onca&lt;/i&gt; in southern Belize","volume":"52","author":[{"family":"Dobbins","given":"Michael T."},{"family":"Steinberg","given":"Michael K."},{"family":"Broadbent","given":"Eben N."},{"family":"Ryan","given":"Sadie J."}],"issued":{"date-parts":[["2018",4]]}}}],"schema":"https://github.com/citation-style-language/schema/raw/master/csl-citation.json"}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(Dobbins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2018, Monette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2020)</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Morant et al. (2025) found that male diurnality declines sharply when HFI exceeds 3.3, reinforcing the idea that jaguars on Maracá-Jipioca maintain more natural activity rhythms under negligible disturbance. However, the marked diurnality may also be linked to hunting behaviour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{"citationID":"CSjIn3Sy","properties":{"formattedCitation":"(Carrillo {\\i{}et al.} 2009)","plainCitation":"(Carrillo et al. 2009)","noteIndex":0},"citationItems":[{"id":8095,"uris":["http://zotero.org/users/11476620/items/CWYM7JWG"],"itemData":{"id":8095,"type":"article-journal","abstract":"Geographic variation in behaviour of individuals within a species is well known (Foster &amp; Endler 1999), both across ranges (Iriarte\n              et al\n              . 1990) and locally (Hertz &amp; Huey 1981). For predators, variation in prey use within a given site is often seasonal (Brillhart &amp; Kaufman 1995), and related to changes in relative abundance and/or vulnerability of various prey (Kunkel\n              et al\n              . 2004). Behavioural diversity also occurs because prey behaviours vary and predators change foraging tactics, even on a daily basis (Ropert-Coudert\n              et al\n              . 2002).","container-title":"Journal of Tropical Ecology","DOI":"10.1017/S0266467409990137","ISSN":"0266-4674, 1469-7831","issue":"5","journalAbbreviation":"J. Trop. Ecol.","language":"en","license":"https://www.cambridge.org/core/terms","page":"563-567","source":"DOI.org (Crossref)","title":"Jaguar ( &lt;i&gt;Panthera onca&lt;/i&gt; ) hunting activity: effects of prey distribution and availability","title-short":"Jaguar ( &lt;i&gt;Panthera onca&lt;/i&gt; ) hunting activity","volume":"25","author":[{"family":"Carrillo","given":"Eduardo"},{"family":"Fuller","given":"Todd K."},{"family":"Saenz","given":"Joel C."}],"issued":{"date-parts":[["2009",9]]}}}],"schema":"https://github.com/citation-style-language/schema/raw/master/csl-citation.json"}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(Carrillo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2009)</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and the islands’ unique prey base and ecological context. Jaguars on Maracá-Jipioca are known to consume a wide variety of prey, including aquatic and semi-aquatic species such as fish, caimans, capybaras, and even marine dolphins, as documented by Dias et al. (2023)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{"citationID":"I4UXj2YV","properties":{"formattedCitation":"(Vergara 2011, Dias {\\i{}et al.} 2025)","plainCitation":"(Vergara 2011, Dias et al. 2025)","noteIndex":0},"citationItems":[{"id":7985,"uris":["http://zotero.org/users/11476620/items/AVPPGRSM"],"itemData":{"id":7985,"type":"thesis","event-place":"Santa Maria, RS, Brasil","language":"Portuguese","number-of-pages":"53","publisher":"Universidade Federal de Santa Maria","publisher-place":"Santa Maria, RS, Brasil","title":"Aspectos ecolóficos da onça-pintada (Panthera onca) em uma ilha costeira na região norte do Brasil","author":[{"family":"Vergara","given":"Michelini"}],"accessed":{"date-parts":[["2025",6,25]]},"issued":{"date-parts":[["2011"]]}},"label":"page"},{"id":7987,"uris":["http://zotero.org/users/11476620/items/KAFZ3SYW"],"itemData":{"id":7987,"type":"article-journal","container-title":"Aquatic Mammals","DOI":"10.1578/AM.51.2.2025.178","ISSN":"01675427","issue":"2","journalAbbreviation":"Aquat Mamm","page":"178-184","source":"DOI.org (Crossref)","title":"An Unusual Record of a Marine Dolphin (Sotalia guianensis) Being Scavenged by Jaguar (Panthera onca) at the Northern Brazilian Amazon","volume":"51","author":[{"family":"Dias","given":"Girlan"},{"family":"Gambarini","given":"Adriano"},{"family":"Oliveira-da-Costa","given":"Marcelo"},{"family":"Marmontel","given":"Miriam"}],"issued":{"date-parts":[["2025",3,15]]}},"label":"page"}],"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(Vergara 2011, Dias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2025)</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This diet, heavily reliant on visually detected and aquatic prey, could favour daylight hunting when visibility is higher. While reduced human disturbance likely facilitates greater daytime activity, we cannot rule out the influence of prey activity rhythms or microhabitat temperature dynamics. Comparative studies across islands and isolated mainland reserves could help clarify whether this pronounced diurnality is a consistent feature of low-disturbance jaguar populations or unique to Maracá-Jipioca’s ecological context.</w:t>
      </w:r>
    </w:p>
    <w:p w14:paraId="67B17B2B" w14:textId="0A37773C" w:rsidR="003D4EB1" w:rsidRPr="00D11827" w:rsidRDefault="00000000" w:rsidP="00D11827">
      <w:pPr>
        <w:spacing w:after="60" w:line="480" w:lineRule="auto"/>
        <w:ind w:firstLine="720"/>
        <w:rPr>
          <w:rFonts w:ascii="Times New Roman" w:hAnsi="Times New Roman" w:cs="Times New Roman"/>
          <w:color w:val="000000" w:themeColor="text1"/>
        </w:rPr>
      </w:pPr>
      <w:r w:rsidRPr="00D11827">
        <w:rPr>
          <w:rFonts w:ascii="Times New Roman" w:hAnsi="Times New Roman" w:cs="Times New Roman"/>
          <w:color w:val="000000" w:themeColor="text1"/>
        </w:rPr>
        <w:lastRenderedPageBreak/>
        <w:t xml:space="preserve">Moreover, the observed sexual differentiation in activity, where males exhibited more crepuscular patterns and females were more active during the day, may reflect sex-specific energetic demands or reproductive roles. In other jaguar populations, reproductive status has been shown to influence activity levels and diel patterns, with females caring for dependent young displaying more diurnal activity, potentially to reduce encounters with conspecifics or predators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{"citationID":"Jd91FQyY","properties":{"formattedCitation":"(J\\uc0\\u281{}drzejewski {\\i{}et al.} 2021)","plainCitation":"(Jędrzejewski et al. 2021)","noteIndex":0},"citationItems":[{"id":8280,"uris":["http://zotero.org/users/11476620/items/ZGSYLX7Z"],"itemData":{"id":8280,"type":"article-journal","abstract":"Abstract\n            All animals, including carnivores, adapt their daily activity duration and distribution to satisfy food demands, breed, or avoid mortality risk. We used the kernel density method to estimate daily movement activity levels and movement activity patterns of jaguars in Hato Piñero, in Venezuelan Western Llanos, based on 3,656 jaguar detection time records from two and a half years of camera trapping. Jaguars were active for 11.7 h per day on average and exhibited mostly nocturnal and crepuscular activity pattern, however, with marked differences between sex/age/reproductive groups. Reproductive females had the highest daily activity level (13.2 h/day), followed by adult males (10.9 h/day), non-reproductive females (10.5 h/day), and cubs (8.7 h/day). Activity patterns also differed, with males and reproductive females having activity peaks at the same hours after sunset and before sunrise, cubs in the night and after sunrise, while non-reproductive females were most active during night hours. This study was the first to document the effect of sex, age, and reproductive status on daily level and activity pattern in the jaguar.","container-title":"Mammal Research","DOI":"10.1007/s13364-021-00589-0","ISSN":"2199-2401, 2199-241X","issue":"4","journalAbbreviation":"Mamm Res","language":"en","page":"531-539","source":"DOI.org (Crossref)","title":"Effect of sex, age, and reproductive status on daily activity levels and activity patterns in jaguars (Panthera onca)","volume":"66","author":[{"family":"Jędrzejewski","given":"Włodzimierz"},{"family":"Vivas","given":"Ilad"},{"family":"Abarca","given":"Maria"},{"family":"Lampo","given":"Margarita"},{"family":"Morales","given":"Luis G."},{"family":"Gamarra","given":"Gertrudis"},{"family":"Schmidt","given":"Krzysztof"},{"family":"Hoogesteijn","given":"Rafael"},{"family":"Carreño","given":"Rafael"},{"family":"Puerto","given":"María F."},{"family":"Viloria","given":"Ángel L."},{"family":"Breitenmoser","given":"Christine"},{"family":"Breitenmoser","given":"Urs"}],"issued":{"date-parts":[["2021",10]]}}}],"schema":"https://github.com/citation-style-language/schema/raw/master/csl-citation.json"}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(Jędrzejewski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2021)</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Similar trends have been observed in other solitary felids, for instance, female leopards with cubs tend to shift activity toward daylight hours to avoid males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{"citationID":"V7fJ94RW","properties":{"formattedCitation":"(Odden &amp; Wegge 2005)","plainCitation":"(Odden &amp; Wegge 2005)","noteIndex":0},"citationItems":[{"id":8282,"uris":["http://zotero.org/users/11476620/items/VLF9MIHE"],"itemData":{"id":8282,"type":"article-journal","container-title":"Wildlife Biology","DOI":"10.2981/0909-6396(2005)11[145:SAAPOL]2.0.CO;2","ISSN":"0909-6396","issue":"2","journalAbbreviation":"Wildlife Biology","language":"en","page":"145-152","source":"DOI.org (Crossref)","title":"Spacing and activity patterns of leopards Panthera pardus in the Royal Bardia National Park, Nepal","volume":"11","author":[{"family":"Odden","given":"Morten"},{"family":"Wegge","given":"Per"}],"issued":{"date-parts":[["2005",6]]}}}],"schema":"https://github.com/citation-style-language/schema/raw/master/csl-citation.json"} </w:instrText>
      </w:r>
      <w:r w:rsidRPr="00D11827">
        <w:rPr>
          <w:rFonts w:ascii="Times New Roman" w:hAnsi="Times New Roman" w:cs="Times New Roman"/>
          <w:color w:val="000000" w:themeColor="text1"/>
        </w:rPr>
        <w:fldChar w:fldCharType="separate"/>
      </w:r>
      <w:r w:rsidR="00E21B60">
        <w:rPr>
          <w:rFonts w:ascii="Times New Roman" w:hAnsi="Times New Roman" w:cs="Times New Roman"/>
          <w:color w:val="000000" w:themeColor="text1"/>
        </w:rPr>
        <w:t>(Odden &amp; Wegge 2005)</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xml:space="preserve">, and female mountain lions often adjust movement patterns to balance hunting and den attendance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{"citationID":"VnXB98FB","properties":{"formattedCitation":"(Allen {\\i{}et al.} 2015)","plainCitation":"(Allen et al. 2015)","noteIndex":0},"citationItems":[{"id":8284,"uris":["http://zotero.org/users/11476620/items/AI72MXT4"],"itemData":{"id":8284,"type":"article-journal","abstract":"Between 2010 and 2012, we studied the feeding and spatial ecology of mountain lions (Puma concolor) in the Mendocino National Forest, California, a single-ungulate system in which their main prey were black-tailed deer (Odocoileus hemionus columbianus). Mountain lions displayed relatively high ungulate kill rates (mean = 1.07 ungulates/week, and mean = 5.78 kg/day), and also displayed individual variation in diet composition. The majority (77.6%) of deer ≥1 year old killed by mountain lions were in fair or better condition despite possible observed selection towards deer in older age classes (&gt;9 years old). Analyses of hunting behavior found that prey types were killed in varying proportions among different time periods, with fawns more frequently killed during diurnal hours. We also found differences in habitat characteristics between kill sites and subsequent feeding sites, with feeding sites lower in elevation, flatter in slope, and with greater canopy density. Individual 95% fixed kernel home ranges varied between 102 and 614 km2. Estimated population densities of mountain lions including known kittens were comparatively low (0.68 mountain lions/100 km2).","container-title":"California Fish and Game","journalAbbreviation":"California Fish and Game","page":"51-65","source":"ResearchGate","title":"Feeding and spatial ecology of mountain lions in the Mendocino National Forest, California","volume":"2015","author":[{"family":"Allen","given":"Max"},{"family":"Elbroch","given":"L. Mark"},{"family":"Casady","given":"David"},{"family":"Wittmer","given":"Heiko"}],"issued":{"date-parts":[["2015",12,1]]}}}],"schema":"https://github.com/citation-style-language/schema/raw/master/csl-citation.json"}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(Allen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2015)</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In our system, such behavioural adjustments may be amplified by island-specific ecological pressures, namely high jaguar density, spatial constraints, and consistent prey availability, which reduce the need for large-scale movement but may increase intra-specific competition. Thus, the temporal segregation we observed may represent a strategy to reduce conflict or optimise foraging in a highly saturated environment. While further research on reproductive status and prey dynamics is needed, our findings align with known patterns of sexual and temporal niche partitioning in large felids.</w:t>
      </w:r>
    </w:p>
    <w:p w14:paraId="1ECF0434" w14:textId="485FFCF5" w:rsidR="003D4EB1" w:rsidRPr="00D11827" w:rsidRDefault="00000000" w:rsidP="00D11827">
      <w:pPr>
        <w:spacing w:after="60" w:line="480" w:lineRule="auto"/>
        <w:ind w:firstLine="720"/>
        <w:rPr>
          <w:rFonts w:ascii="Times New Roman" w:hAnsi="Times New Roman" w:cs="Times New Roman"/>
          <w:color w:val="000000" w:themeColor="text1"/>
        </w:rPr>
      </w:pPr>
      <w:r w:rsidRPr="00D11827">
        <w:rPr>
          <w:rFonts w:ascii="Times New Roman" w:hAnsi="Times New Roman" w:cs="Times New Roman"/>
          <w:color w:val="000000" w:themeColor="text1"/>
        </w:rPr>
        <w:t xml:space="preserve">Jaguars on Maracá-Jipioca spent a substantial proportion of their time directly at or near the island’s coast and exhibited a measurable response to tidal variation. Specifically, individuals tended to stay closer to the coast during low tide, suggesting that their spatial use is at least partially influenced by hydrological cycles. This behaviour may reflect strategic foraging, as many of their key prey species, such as fish, caimans, and capybaras, are more accessible or concentrated in shallow waters during low tide. While substantial individual variability was observed, the inclusion of sea level significantly improved model predictions of coastal proximity, indicating a functional link between tidal state and jaguar movement. These findings suggest that, in this insular Amazonian system, jaguars modulate their coastal </w:t>
      </w:r>
      <w:r w:rsidRPr="00D11827">
        <w:rPr>
          <w:rFonts w:ascii="Times New Roman" w:hAnsi="Times New Roman" w:cs="Times New Roman"/>
          <w:color w:val="000000" w:themeColor="text1"/>
        </w:rPr>
        <w:lastRenderedPageBreak/>
        <w:t xml:space="preserve">behaviour in response to environmental rhythms, possibly to enhance prey encounter rates. The observed fidelity to coastal areas, often within 100 m of the waterline, mirrors the spatial optimisation seen in other flooded, high-NPP systems where aquatic prey resources are predictably structured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{"citationID":"nfMFR3oJ","properties":{"formattedCitation":"(Alvarenga {\\i{}et al.} 2025)","plainCitation":"(Alvarenga et al. 2025)","noteIndex":0},"citationItems":[{"id":8015,"uris":["http://zotero.org/users/11476620/items/XX57LMKY"],"itemData":{"id":8015,"type":"article-journal","container-title":"Biological Conservation","DOI":"10.1016/j.biocon.2025.111010","ISSN":"00063207","journalAbbreviation":"Biological Conservation","language":"en","page":"111010","source":"DOI.org (Crossref)","title":"Jaguar (Panthera onca) density and population size across protected areas and indigenous lands in the Amazon biome, its largest stronghold","volume":"303","author":[{"family":"Alvarenga","given":"Guilherme Costa"},{"family":"Tobler","given":"Mathias W."},{"family":"Boron","given":"Valeria"},{"family":"De Carvalho Jr","given":"Elildo Alves Ribeiro"},{"family":"Morato","given":"Ronaldo Gonçalves"},{"family":"Endo","given":"Whaldener"},{"family":"Mendonça","given":"Eloisa Neves"},{"family":"Sampaio","given":"Ricardo"},{"family":"Durigan","given":"Carlos César"},{"family":"Gonçalves","given":"André Luis Sousa"},{"family":"Ramalho","given":"Emiliano Esterci"},{"family":"Pezzuti","given":"Juarez Carlos Brito"},{"family":"De Paula","given":"Milton José"},{"family":"Antunes","given":"André Pinassi"},{"family":"Mena","given":"José Luis"},{"family":"Dupont","given":"Gates"},{"family":"Spironello","given":"Wilson"},{"family":"Pacheco","given":"Jessica"},{"family":"La Rosa-Camino","given":"Fabiola"},{"family":"Cabrera","given":"Jaime"},{"family":"Montanarin","given":"Anelise"},{"family":"Da Costa","given":"Marcelo Oliveira"}],"issued":{"date-parts":[["2025",3]]}}}],"schema":"https://github.com/citation-style-language/schema/raw/master/csl-citation.json"}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(Alvarenga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2025)</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These findings offer preliminary evidence that jaguars modulate their coastal behaviour in response to environmental rhythms, though additional research is needed to confirm whether this is an adaptive foraging strategy or a by-product of tidal access to preferred travel corridors or resting sites.</w:t>
      </w:r>
    </w:p>
    <w:p w14:paraId="06E101BB" w14:textId="5C1AE73F" w:rsidR="003D4EB1" w:rsidRPr="00D11827" w:rsidRDefault="00000000" w:rsidP="00D11827">
      <w:pPr>
        <w:spacing w:after="60" w:line="480" w:lineRule="auto"/>
        <w:ind w:firstLine="720"/>
        <w:rPr>
          <w:rFonts w:ascii="Times New Roman" w:hAnsi="Times New Roman" w:cs="Times New Roman"/>
          <w:color w:val="000000" w:themeColor="text1"/>
        </w:rPr>
      </w:pPr>
      <w:r w:rsidRPr="00D11827">
        <w:rPr>
          <w:rFonts w:ascii="Times New Roman" w:hAnsi="Times New Roman" w:cs="Times New Roman"/>
          <w:color w:val="000000" w:themeColor="text1"/>
        </w:rPr>
        <w:t xml:space="preserve">In summary, Maracá-Jipioca represents a natural laboratory for understanding jaguar ecology under near-pristine conditions. The absence of direct human pressure, coupled with high productivity and aquatic prey abundance, supports reduced home ranges, slower movement, and higher diurnality. These traits contrast with the expanded ranges and altered behaviours reported from disturbed systems, highlighting the role of habitat integrity in shaping large carnivore ecology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{"citationID":"vkUlz3l6","properties":{"formattedCitation":"(Thompson {\\i{}et al.} 2021, Morant {\\i{}et al.} 2025)","plainCitation":"(Thompson et al. 2021, Morant et al. 2025)","noteIndex":0},"citationItems":[{"id":8024,"uris":["http://zotero.org/users/11476620/items/XJLP93KU"],"itemData":{"id":8024,"type":"article-journal","container-title":"Current Biology","DOI":"10.1016/j.cub.2021.06.029","ISSN":"09609822","issue":"15","journalAbbreviation":"Current Biology","language":"en","page":"3457-3466.e4","source":"DOI.org (Crossref)","title":"Environmental and anthropogenic factors synergistically affect space use of jaguars","volume":"31","author":[{"family":"Thompson","given":"Jeffrey J."},{"family":"Morato","given":"Ronaldo G."},{"family":"Niebuhr","given":"Bernardo B."},{"family":"Alegre","given":"Vanesa Bejarano"},{"family":"Oshima","given":"Júlia Emi F."},{"family":"De Barros","given":"Alan E."},{"family":"Paviolo","given":"Agustín"},{"family":"De La Torre","given":"J. Antonio"},{"family":"Lima","given":"Fernando"},{"family":"McBride","given":"Roy T."},{"family":"Cunha De Paula","given":"Rogerio"},{"family":"Cullen","given":"Laury"},{"family":"Silveira","given":"Leandro"},{"family":"Kantek","given":"Daniel L.Z."},{"family":"Ramalho","given":"Emiliano E."},{"family":"Maranhão","given":"Louise"},{"family":"Haberfeld","given":"Mario"},{"family":"Sana","given":"Denis A."},{"family":"Medellin","given":"Rodrigo A."},{"family":"Carrillo","given":"Eduardo"},{"family":"Montalvo","given":"Victor H."},{"family":"Monroy-Vilchis","given":"Octavio"},{"family":"Cruz","given":"Paula"},{"family":"Jacomo","given":"Anah T.A."},{"family":"Alves","given":"Giselle B."},{"family":"Cassaigne","given":"Ivonne"},{"family":"Thompson","given":"Ron"},{"family":"Sáenz-Bolaños","given":"Carolina"},{"family":"Cruz","given":"Juan Carlos"},{"family":"Alfaro","given":"Luis D."},{"family":"Hagnauer","given":"Isabel"},{"family":"Xavier Da Silva","given":"Marina"},{"family":"Vogliotti","given":"Alexandre"},{"family":"Moraes","given":"Marcela F.D."},{"family":"Miyazaki","given":"Selma S."},{"family":"Araujo","given":"Gediendson R."},{"family":"Cruz Da Silva","given":"Leanes"},{"family":"Leuzinger","given":"Lucas"},{"family":"Carvalho","given":"Marina M."},{"family":"Rampim","given":"Lilian"},{"family":"Sartorello","given":"Leonardo"},{"family":"Quigley","given":"Howard"},{"family":"Tortato","given":"Fernando R."},{"family":"Hoogesteijn","given":"Rafael"},{"family":"Crawshaw","given":"Peter G."},{"family":"Devlin","given":"Allison L."},{"family":"May Júnior","given":"Joares A."},{"family":"Powell","given":"George V.N."},{"family":"Tobler","given":"Mathias W."},{"family":"Carrillo-Percastegui","given":"Samia E."},{"family":"Payán","given":"Estebán"},{"family":"Azevedo","given":"Fernando C.C."},{"family":"Concone","given":"Henrique V.B."},{"family":"Quiroga","given":"Verónica A."},{"family":"Costa","given":"Sebastián A."},{"family":"Arrabal","given":"Juan P."},{"family":"Vanderhoeven","given":"Ezequiel"},{"family":"Di Blanco","given":"Yamil E."},{"family":"Lopes","given":"Alexandre M.C."},{"family":"Ribeiro","given":"Milton Cezar"}],"issued":{"date-parts":[["2021",8]]}},"label":"page"},{"id":8018,"uris":["http://zotero.org/users/11476620/items/LVTFMLY7"],"itemData":{"id":8018,"type":"article-journal","container-title":"Biological Conservation","DOI":"10.1016/j.biocon.2025.111278","ISSN":"00063207","journalAbbreviation":"Biological Conservation","language":"en","page":"111278","source":"DOI.org (Crossref)","title":"Low human disturbance levels alter movement patterns and induce behavioural changes in an apex predator","volume":"309","author":[{"family":"Morant","given":"Jon"},{"family":"González","given":"Esther Sebastián"},{"family":"Tambosi","given":"Leandro Reverberi"},{"family":"De Barros","given":"Alan Eduardo"},{"family":"De Araujo","given":"Gediendson Ribeiro"},{"family":"De Deco Souza","given":"Thyara"},{"family":"Moreira","given":"Renato A."},{"family":"Tórres","given":"Natália Mundim"},{"family":"Da Silva","given":"Maite Cardoso Coelho"},{"family":"Leuzinger","given":"Lucas"},{"family":"Oliveira","given":"Gustavo"},{"family":"Alves","given":"Giselle Bastos"},{"family":"Palmeira","given":"Francesca Belem Lopes"},{"family":"Jácomo","given":"Anah T.A."},{"family":"Silveira","given":"Leandro"}],"issued":{"date-parts":[["2025",9]]}},"label":"page"}],"schema":"https://github.com/citation-style-language/schema/raw/master/csl-citation.json"}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(Thompson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2021, Morant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2025)</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Yet, the total land area available (ca. 600 km</w:t>
      </w:r>
      <w:r w:rsidRPr="00D11827">
        <w:rPr>
          <w:rFonts w:ascii="Times New Roman" w:hAnsi="Times New Roman" w:cs="Times New Roman"/>
          <w:color w:val="000000" w:themeColor="text1"/>
          <w:vertAlign w:val="superscript"/>
        </w:rPr>
        <w:t>2</w:t>
      </w:r>
      <w:r w:rsidRPr="00D11827">
        <w:rPr>
          <w:rFonts w:ascii="Times New Roman" w:hAnsi="Times New Roman" w:cs="Times New Roman"/>
          <w:color w:val="000000" w:themeColor="text1"/>
        </w:rPr>
        <w:t xml:space="preserve">) remains well below the ~1,700 km² required for a genetically viable population under typical conditions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{"citationID":"l958J3Ya","properties":{"formattedCitation":"(Morato {\\i{}et al.} 2016)","plainCitation":"(Morato et al. 2016)","noteIndex":0},"citationItems":[{"id":7941,"uris":["http://zotero.org/users/11476620/items/WI2JA44T"],"itemData":{"id":7941,"type":"article-journal","container-title":"PLOS ONE","DOI":"10.1371/journal.pone.0168176","ISSN":"1932-6203","issue":"12","journalAbbreviation":"PLoS ONE","language":"en","page":"e0168176","source":"DOI.org (Crossref)","title":"Space Use and Movement of a Neotropical Top Predator: The Endangered Jaguar","title-short":"Space Use and Movement of a Neotropical Top Predator","volume":"11","author":[{"family":"Morato","given":"Ronaldo G."},{"family":"Stabach","given":"Jared A."},{"family":"Fleming","given":"Chris H."},{"family":"Calabrese","given":"Justin M."},{"family":"De Paula","given":"Rogério C."},{"family":"Ferraz","given":"Kátia M. P. M."},{"family":"Kantek","given":"Daniel L. Z."},{"family":"Miyazaki","given":"Selma S."},{"family":"Pereira","given":"Thadeu D. C."},{"family":"Araujo","given":"Gediendson R."},{"family":"Paviolo","given":"Agustin"},{"family":"De Angelo","given":"Carlos"},{"family":"Di Bitetti","given":"Mario S."},{"family":"Cruz","given":"Paula"},{"family":"Lima","given":"Fernando"},{"family":"Cullen","given":"Laury"},{"family":"Sana","given":"Denis A."},{"family":"Ramalho","given":"Emiliano E."},{"family":"Carvalho","given":"Marina M."},{"family":"Soares","given":"Fábio H. S."},{"family":"Zimbres","given":"Barbara"},{"family":"Silva","given":"Marina X."},{"family":"Moraes","given":"Marcela D. F."},{"family":"Vogliotti","given":"Alexandre"},{"family":"May","given":"Joares A."},{"family":"Haberfeld","given":"Mario"},{"family":"Rampim","given":"Lilian"},{"family":"Sartorello","given":"Leonardo"},{"family":"Ribeiro","given":"Milton C."},{"family":"Leimgruber","given":"Peter"}],"editor":[{"family":"Stöck","given":"Matthias"}],"issued":{"date-parts":[["2016",12,28]]}}}],"schema":"https://github.com/citation-style-language/schema/raw/master/csl-citation.json"} </w:instrText>
      </w:r>
      <w:r w:rsidRPr="00D11827">
        <w:rPr>
          <w:rFonts w:ascii="Times New Roman" w:hAnsi="Times New Roman" w:cs="Times New Roman"/>
          <w:color w:val="000000" w:themeColor="text1"/>
        </w:rPr>
        <w:fldChar w:fldCharType="separate"/>
      </w:r>
      <w:r w:rsidR="00E21B60" w:rsidRPr="00E21B60">
        <w:rPr>
          <w:rFonts w:ascii="Times New Roman" w:hAnsi="Times New Roman" w:cs="Times New Roman"/>
          <w:color w:val="000000"/>
          <w:lang w:val="en-US"/>
        </w:rPr>
        <w:t xml:space="preserve">(Morato </w:t>
      </w:r>
      <w:r w:rsidR="00E21B60" w:rsidRPr="00E21B60">
        <w:rPr>
          <w:rFonts w:ascii="Times New Roman" w:hAnsi="Times New Roman" w:cs="Times New Roman"/>
          <w:i/>
          <w:iCs/>
          <w:color w:val="000000"/>
          <w:lang w:val="en-US"/>
        </w:rPr>
        <w:t>et al.</w:t>
      </w:r>
      <w:r w:rsidR="00E21B60" w:rsidRPr="00E21B60">
        <w:rPr>
          <w:rFonts w:ascii="Times New Roman" w:hAnsi="Times New Roman" w:cs="Times New Roman"/>
          <w:color w:val="000000"/>
          <w:lang w:val="en-US"/>
        </w:rPr>
        <w:t xml:space="preserve"> 2016)</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 raising questions about long-term persistence. By offering a rare lens into jaguar behaviour in a low-HFI island setting, our findings contribute to a growing body of work exploring how landscape context, from fragmented forests to intact floodplains, influences apex predator strategies across the Neotropics. Ongoing demographic, genetic, and landscape-scale monitoring will be essential to determine whether Maracá-Jipioca acts as a demographic source, sink, or closed system, and how it may respond to climate-driven changes in sea level and habitat structure.</w:t>
      </w:r>
    </w:p>
    <w:p w14:paraId="010C1750" w14:textId="77777777" w:rsidR="003D4EB1" w:rsidRPr="00D11827" w:rsidRDefault="003D4EB1" w:rsidP="00D11827">
      <w:pPr>
        <w:spacing w:after="60" w:line="480" w:lineRule="auto"/>
        <w:ind w:firstLine="720"/>
        <w:rPr>
          <w:rFonts w:ascii="Times New Roman" w:hAnsi="Times New Roman" w:cs="Times New Roman"/>
          <w:color w:val="000000" w:themeColor="text1"/>
        </w:rPr>
      </w:pPr>
    </w:p>
    <w:p w14:paraId="1926826E" w14:textId="77777777" w:rsidR="00D11827" w:rsidRDefault="00D11827" w:rsidP="00D11827">
      <w:pPr>
        <w:pStyle w:val="Heading1"/>
        <w:rPr>
          <w:rFonts w:ascii="Times New Roman" w:hAnsi="Times New Roman" w:cs="Times New Roman"/>
          <w:color w:val="000000" w:themeColor="text1"/>
          <w:sz w:val="24"/>
          <w:szCs w:val="24"/>
        </w:rPr>
        <w:sectPr w:rsidR="00D11827">
          <w:pgSz w:w="11906" w:h="16838"/>
          <w:pgMar w:top="1440" w:right="1440" w:bottom="1440" w:left="1440" w:header="708" w:footer="708" w:gutter="0"/>
          <w:lnNumType w:countBy="1" w:restart="continuous"/>
          <w:cols w:space="720"/>
        </w:sectPr>
      </w:pPr>
      <w:bookmarkStart w:id="17" w:name="_sd9ydhup7t5a" w:colFirst="0" w:colLast="0"/>
      <w:bookmarkEnd w:id="17"/>
    </w:p>
    <w:p w14:paraId="0AA95ACE" w14:textId="691FBD6E" w:rsidR="00D11827" w:rsidRDefault="00EB0E99" w:rsidP="00EB0E99">
      <w:pPr>
        <w:pStyle w:val="Heading1"/>
        <w:numPr>
          <w:ilvl w:val="0"/>
          <w:numId w:val="1"/>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TABLES</w:t>
      </w:r>
    </w:p>
    <w:p w14:paraId="1A83AC2C" w14:textId="77777777" w:rsidR="00D11827" w:rsidRPr="00D11827" w:rsidRDefault="00D11827" w:rsidP="00D11827">
      <w:pPr>
        <w:spacing w:after="60" w:line="480" w:lineRule="auto"/>
        <w:rPr>
          <w:rFonts w:ascii="Times New Roman" w:hAnsi="Times New Roman" w:cs="Times New Roman"/>
          <w:color w:val="000000" w:themeColor="text1"/>
        </w:rPr>
      </w:pPr>
      <w:r w:rsidRPr="00D11827">
        <w:rPr>
          <w:rFonts w:ascii="Times New Roman" w:hAnsi="Times New Roman" w:cs="Times New Roman"/>
          <w:b/>
          <w:bCs/>
          <w:color w:val="000000" w:themeColor="text1"/>
        </w:rPr>
        <w:t>Table 1.</w:t>
      </w:r>
      <w:r w:rsidRPr="00D11827">
        <w:rPr>
          <w:rFonts w:ascii="Times New Roman" w:hAnsi="Times New Roman" w:cs="Times New Roman"/>
          <w:color w:val="000000" w:themeColor="text1"/>
        </w:rPr>
        <w:t xml:space="preserve"> The model estimated probabilities of a jaguar moving (P(moving)), and their movement speeds, along with 95% confidence intervals in each of Maraca’s five core habitat types.</w:t>
      </w:r>
    </w:p>
    <w:tbl>
      <w:tblPr>
        <w:tblStyle w:val="a"/>
        <w:tblW w:w="8655" w:type="dxa"/>
        <w:jc w:val="center"/>
        <w:tblInd w:w="0" w:type="dxa"/>
        <w:tblLayout w:type="fixed"/>
        <w:tblLook w:val="0400" w:firstRow="0" w:lastRow="0" w:firstColumn="0" w:lastColumn="0" w:noHBand="0" w:noVBand="1"/>
      </w:tblPr>
      <w:tblGrid>
        <w:gridCol w:w="1260"/>
        <w:gridCol w:w="1440"/>
        <w:gridCol w:w="1440"/>
        <w:gridCol w:w="1470"/>
        <w:gridCol w:w="1485"/>
        <w:gridCol w:w="1560"/>
      </w:tblGrid>
      <w:tr w:rsidR="00D11827" w:rsidRPr="00D11827" w14:paraId="04EE3B19" w14:textId="77777777" w:rsidTr="004F2F42">
        <w:trPr>
          <w:trHeight w:val="320"/>
          <w:jc w:val="center"/>
        </w:trPr>
        <w:tc>
          <w:tcPr>
            <w:tcW w:w="1260" w:type="dxa"/>
            <w:tcBorders>
              <w:top w:val="single" w:sz="4" w:space="0" w:color="000000"/>
              <w:left w:val="single" w:sz="4" w:space="0" w:color="000000"/>
              <w:bottom w:val="single" w:sz="4" w:space="0" w:color="000000"/>
              <w:right w:val="single" w:sz="4" w:space="0" w:color="000000"/>
            </w:tcBorders>
            <w:vAlign w:val="bottom"/>
          </w:tcPr>
          <w:p w14:paraId="4870D339" w14:textId="77777777" w:rsidR="00D11827" w:rsidRPr="00D11827" w:rsidRDefault="00D11827" w:rsidP="004F2F42">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 </w:t>
            </w:r>
          </w:p>
        </w:tc>
        <w:tc>
          <w:tcPr>
            <w:tcW w:w="1440" w:type="dxa"/>
            <w:tcBorders>
              <w:top w:val="single" w:sz="4" w:space="0" w:color="000000"/>
              <w:left w:val="nil"/>
              <w:bottom w:val="single" w:sz="4" w:space="0" w:color="000000"/>
              <w:right w:val="nil"/>
            </w:tcBorders>
            <w:vAlign w:val="center"/>
          </w:tcPr>
          <w:p w14:paraId="2B64173D" w14:textId="77777777" w:rsidR="00D11827" w:rsidRPr="00D11827" w:rsidRDefault="00D11827" w:rsidP="004F2F42">
            <w:pPr>
              <w:spacing w:after="60" w:line="480" w:lineRule="auto"/>
              <w:rPr>
                <w:rFonts w:ascii="Times New Roman" w:hAnsi="Times New Roman" w:cs="Times New Roman"/>
                <w:b/>
                <w:bCs/>
                <w:color w:val="000000" w:themeColor="text1"/>
              </w:rPr>
            </w:pPr>
            <w:r w:rsidRPr="00D11827">
              <w:rPr>
                <w:rFonts w:ascii="Times New Roman" w:hAnsi="Times New Roman" w:cs="Times New Roman"/>
                <w:b/>
                <w:bCs/>
                <w:color w:val="000000" w:themeColor="text1"/>
              </w:rPr>
              <w:t>Forest</w:t>
            </w:r>
          </w:p>
        </w:tc>
        <w:tc>
          <w:tcPr>
            <w:tcW w:w="1440" w:type="dxa"/>
            <w:tcBorders>
              <w:top w:val="single" w:sz="4" w:space="0" w:color="000000"/>
              <w:left w:val="nil"/>
              <w:bottom w:val="single" w:sz="4" w:space="0" w:color="000000"/>
              <w:right w:val="nil"/>
            </w:tcBorders>
            <w:vAlign w:val="center"/>
          </w:tcPr>
          <w:p w14:paraId="39DC375B" w14:textId="77777777" w:rsidR="00D11827" w:rsidRPr="00D11827" w:rsidRDefault="00D11827" w:rsidP="004F2F42">
            <w:pPr>
              <w:spacing w:after="60" w:line="480" w:lineRule="auto"/>
              <w:rPr>
                <w:rFonts w:ascii="Times New Roman" w:hAnsi="Times New Roman" w:cs="Times New Roman"/>
                <w:b/>
                <w:bCs/>
                <w:color w:val="000000" w:themeColor="text1"/>
              </w:rPr>
            </w:pPr>
            <w:r w:rsidRPr="00D11827">
              <w:rPr>
                <w:rFonts w:ascii="Times New Roman" w:hAnsi="Times New Roman" w:cs="Times New Roman"/>
                <w:b/>
                <w:bCs/>
                <w:color w:val="000000" w:themeColor="text1"/>
              </w:rPr>
              <w:t>Grassland</w:t>
            </w:r>
          </w:p>
        </w:tc>
        <w:tc>
          <w:tcPr>
            <w:tcW w:w="1470" w:type="dxa"/>
            <w:tcBorders>
              <w:top w:val="single" w:sz="4" w:space="0" w:color="000000"/>
              <w:left w:val="nil"/>
              <w:bottom w:val="single" w:sz="4" w:space="0" w:color="000000"/>
              <w:right w:val="nil"/>
            </w:tcBorders>
            <w:vAlign w:val="center"/>
          </w:tcPr>
          <w:p w14:paraId="504480BD" w14:textId="77777777" w:rsidR="00D11827" w:rsidRPr="00D11827" w:rsidRDefault="00D11827" w:rsidP="004F2F42">
            <w:pPr>
              <w:spacing w:after="60" w:line="480" w:lineRule="auto"/>
              <w:rPr>
                <w:rFonts w:ascii="Times New Roman" w:hAnsi="Times New Roman" w:cs="Times New Roman"/>
                <w:b/>
                <w:bCs/>
                <w:color w:val="000000" w:themeColor="text1"/>
              </w:rPr>
            </w:pPr>
            <w:r w:rsidRPr="00D11827">
              <w:rPr>
                <w:rFonts w:ascii="Times New Roman" w:hAnsi="Times New Roman" w:cs="Times New Roman"/>
                <w:b/>
                <w:bCs/>
                <w:color w:val="000000" w:themeColor="text1"/>
              </w:rPr>
              <w:t>Mangrove</w:t>
            </w:r>
          </w:p>
        </w:tc>
        <w:tc>
          <w:tcPr>
            <w:tcW w:w="1485" w:type="dxa"/>
            <w:tcBorders>
              <w:top w:val="single" w:sz="4" w:space="0" w:color="000000"/>
              <w:left w:val="nil"/>
              <w:bottom w:val="single" w:sz="4" w:space="0" w:color="000000"/>
              <w:right w:val="nil"/>
            </w:tcBorders>
            <w:vAlign w:val="center"/>
          </w:tcPr>
          <w:p w14:paraId="6F0BB4F7" w14:textId="77777777" w:rsidR="00D11827" w:rsidRPr="00D11827" w:rsidRDefault="00D11827" w:rsidP="004F2F42">
            <w:pPr>
              <w:spacing w:after="60" w:line="480" w:lineRule="auto"/>
              <w:rPr>
                <w:rFonts w:ascii="Times New Roman" w:hAnsi="Times New Roman" w:cs="Times New Roman"/>
                <w:b/>
                <w:bCs/>
                <w:color w:val="000000" w:themeColor="text1"/>
              </w:rPr>
            </w:pPr>
            <w:r w:rsidRPr="00D11827">
              <w:rPr>
                <w:rFonts w:ascii="Times New Roman" w:hAnsi="Times New Roman" w:cs="Times New Roman"/>
                <w:b/>
                <w:bCs/>
                <w:color w:val="000000" w:themeColor="text1"/>
              </w:rPr>
              <w:t>Water</w:t>
            </w:r>
          </w:p>
        </w:tc>
        <w:tc>
          <w:tcPr>
            <w:tcW w:w="1560" w:type="dxa"/>
            <w:tcBorders>
              <w:top w:val="single" w:sz="4" w:space="0" w:color="000000"/>
              <w:left w:val="nil"/>
              <w:bottom w:val="single" w:sz="4" w:space="0" w:color="000000"/>
              <w:right w:val="single" w:sz="4" w:space="0" w:color="000000"/>
            </w:tcBorders>
            <w:vAlign w:val="center"/>
          </w:tcPr>
          <w:p w14:paraId="2F2A4D8F" w14:textId="77777777" w:rsidR="00D11827" w:rsidRPr="00D11827" w:rsidRDefault="00D11827" w:rsidP="004F2F42">
            <w:pPr>
              <w:spacing w:after="60" w:line="480" w:lineRule="auto"/>
              <w:rPr>
                <w:rFonts w:ascii="Times New Roman" w:hAnsi="Times New Roman" w:cs="Times New Roman"/>
                <w:b/>
                <w:bCs/>
                <w:color w:val="000000" w:themeColor="text1"/>
              </w:rPr>
            </w:pPr>
            <w:r w:rsidRPr="00D11827">
              <w:rPr>
                <w:rFonts w:ascii="Times New Roman" w:hAnsi="Times New Roman" w:cs="Times New Roman"/>
                <w:b/>
                <w:bCs/>
                <w:color w:val="000000" w:themeColor="text1"/>
              </w:rPr>
              <w:t>Wetland</w:t>
            </w:r>
          </w:p>
        </w:tc>
      </w:tr>
      <w:tr w:rsidR="00D11827" w:rsidRPr="00D11827" w14:paraId="2C1BC795" w14:textId="77777777" w:rsidTr="004F2F42">
        <w:trPr>
          <w:trHeight w:val="320"/>
          <w:jc w:val="center"/>
        </w:trPr>
        <w:tc>
          <w:tcPr>
            <w:tcW w:w="1260" w:type="dxa"/>
            <w:vMerge w:val="restart"/>
            <w:tcBorders>
              <w:top w:val="nil"/>
              <w:left w:val="single" w:sz="4" w:space="0" w:color="000000"/>
              <w:bottom w:val="single" w:sz="4" w:space="0" w:color="000000"/>
              <w:right w:val="single" w:sz="4" w:space="0" w:color="000000"/>
            </w:tcBorders>
            <w:vAlign w:val="center"/>
          </w:tcPr>
          <w:p w14:paraId="425DE0E2" w14:textId="77777777" w:rsidR="00D11827" w:rsidRPr="00D11827" w:rsidRDefault="00D11827" w:rsidP="004F2F42">
            <w:pPr>
              <w:spacing w:after="60" w:line="480" w:lineRule="auto"/>
              <w:rPr>
                <w:rFonts w:ascii="Times New Roman" w:hAnsi="Times New Roman" w:cs="Times New Roman"/>
                <w:b/>
                <w:bCs/>
                <w:color w:val="000000" w:themeColor="text1"/>
              </w:rPr>
            </w:pPr>
            <w:r w:rsidRPr="00D11827">
              <w:rPr>
                <w:rFonts w:ascii="Times New Roman" w:hAnsi="Times New Roman" w:cs="Times New Roman"/>
                <w:b/>
                <w:bCs/>
                <w:color w:val="000000" w:themeColor="text1"/>
              </w:rPr>
              <w:t>P(moving)</w:t>
            </w:r>
          </w:p>
        </w:tc>
        <w:tc>
          <w:tcPr>
            <w:tcW w:w="1440" w:type="dxa"/>
            <w:tcBorders>
              <w:top w:val="nil"/>
              <w:left w:val="nil"/>
              <w:bottom w:val="nil"/>
              <w:right w:val="nil"/>
            </w:tcBorders>
            <w:vAlign w:val="center"/>
          </w:tcPr>
          <w:p w14:paraId="26891DC9" w14:textId="77777777" w:rsidR="00D11827" w:rsidRPr="00D11827" w:rsidRDefault="00D11827" w:rsidP="004F2F42">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0.17</w:t>
            </w:r>
          </w:p>
        </w:tc>
        <w:tc>
          <w:tcPr>
            <w:tcW w:w="1440" w:type="dxa"/>
            <w:tcBorders>
              <w:top w:val="nil"/>
              <w:left w:val="nil"/>
              <w:bottom w:val="nil"/>
              <w:right w:val="nil"/>
            </w:tcBorders>
            <w:vAlign w:val="center"/>
          </w:tcPr>
          <w:p w14:paraId="75488022" w14:textId="77777777" w:rsidR="00D11827" w:rsidRPr="00D11827" w:rsidRDefault="00D11827" w:rsidP="004F2F42">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0.24</w:t>
            </w:r>
          </w:p>
        </w:tc>
        <w:tc>
          <w:tcPr>
            <w:tcW w:w="1470" w:type="dxa"/>
            <w:tcBorders>
              <w:top w:val="nil"/>
              <w:left w:val="nil"/>
              <w:bottom w:val="nil"/>
              <w:right w:val="nil"/>
            </w:tcBorders>
            <w:vAlign w:val="center"/>
          </w:tcPr>
          <w:p w14:paraId="79688991" w14:textId="77777777" w:rsidR="00D11827" w:rsidRPr="00D11827" w:rsidRDefault="00D11827" w:rsidP="004F2F42">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0.14</w:t>
            </w:r>
          </w:p>
        </w:tc>
        <w:tc>
          <w:tcPr>
            <w:tcW w:w="1485" w:type="dxa"/>
            <w:tcBorders>
              <w:top w:val="nil"/>
              <w:left w:val="nil"/>
              <w:bottom w:val="nil"/>
              <w:right w:val="nil"/>
            </w:tcBorders>
            <w:vAlign w:val="center"/>
          </w:tcPr>
          <w:p w14:paraId="3A726B33" w14:textId="77777777" w:rsidR="00D11827" w:rsidRPr="00D11827" w:rsidRDefault="00D11827" w:rsidP="004F2F42">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0.24</w:t>
            </w:r>
          </w:p>
        </w:tc>
        <w:tc>
          <w:tcPr>
            <w:tcW w:w="1560" w:type="dxa"/>
            <w:tcBorders>
              <w:top w:val="nil"/>
              <w:left w:val="nil"/>
              <w:bottom w:val="nil"/>
              <w:right w:val="single" w:sz="4" w:space="0" w:color="000000"/>
            </w:tcBorders>
            <w:vAlign w:val="center"/>
          </w:tcPr>
          <w:p w14:paraId="5287502E" w14:textId="77777777" w:rsidR="00D11827" w:rsidRPr="00D11827" w:rsidRDefault="00D11827" w:rsidP="004F2F42">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0.25</w:t>
            </w:r>
          </w:p>
        </w:tc>
      </w:tr>
      <w:tr w:rsidR="00D11827" w:rsidRPr="00D11827" w14:paraId="23C3D021" w14:textId="77777777" w:rsidTr="004F2F42">
        <w:trPr>
          <w:trHeight w:val="320"/>
          <w:jc w:val="center"/>
        </w:trPr>
        <w:tc>
          <w:tcPr>
            <w:tcW w:w="1260" w:type="dxa"/>
            <w:vMerge/>
            <w:tcBorders>
              <w:top w:val="nil"/>
              <w:left w:val="single" w:sz="4" w:space="0" w:color="000000"/>
              <w:bottom w:val="single" w:sz="4" w:space="0" w:color="000000"/>
              <w:right w:val="single" w:sz="4" w:space="0" w:color="000000"/>
            </w:tcBorders>
            <w:vAlign w:val="center"/>
          </w:tcPr>
          <w:p w14:paraId="40C474EC" w14:textId="77777777" w:rsidR="00D11827" w:rsidRPr="00D11827" w:rsidRDefault="00D11827" w:rsidP="004F2F42">
            <w:pPr>
              <w:widowControl w:val="0"/>
              <w:pBdr>
                <w:top w:val="nil"/>
                <w:left w:val="nil"/>
                <w:bottom w:val="nil"/>
                <w:right w:val="nil"/>
                <w:between w:val="nil"/>
              </w:pBdr>
              <w:spacing w:after="0" w:line="480" w:lineRule="auto"/>
              <w:rPr>
                <w:rFonts w:ascii="Times New Roman" w:hAnsi="Times New Roman" w:cs="Times New Roman"/>
                <w:color w:val="000000" w:themeColor="text1"/>
              </w:rPr>
            </w:pPr>
          </w:p>
        </w:tc>
        <w:tc>
          <w:tcPr>
            <w:tcW w:w="1440" w:type="dxa"/>
            <w:tcBorders>
              <w:top w:val="nil"/>
              <w:left w:val="nil"/>
              <w:bottom w:val="single" w:sz="4" w:space="0" w:color="000000"/>
              <w:right w:val="nil"/>
            </w:tcBorders>
            <w:vAlign w:val="center"/>
          </w:tcPr>
          <w:p w14:paraId="4BC65AC0" w14:textId="77777777" w:rsidR="00D11827" w:rsidRPr="00D11827" w:rsidRDefault="00D11827" w:rsidP="004F2F42">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(0.14 - 0.21)</w:t>
            </w:r>
          </w:p>
        </w:tc>
        <w:tc>
          <w:tcPr>
            <w:tcW w:w="1440" w:type="dxa"/>
            <w:tcBorders>
              <w:top w:val="nil"/>
              <w:left w:val="nil"/>
              <w:bottom w:val="single" w:sz="4" w:space="0" w:color="000000"/>
              <w:right w:val="nil"/>
            </w:tcBorders>
            <w:vAlign w:val="center"/>
          </w:tcPr>
          <w:p w14:paraId="13944980" w14:textId="77777777" w:rsidR="00D11827" w:rsidRPr="00D11827" w:rsidRDefault="00D11827" w:rsidP="004F2F42">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(0.20 - 0.30)</w:t>
            </w:r>
          </w:p>
        </w:tc>
        <w:tc>
          <w:tcPr>
            <w:tcW w:w="1470" w:type="dxa"/>
            <w:tcBorders>
              <w:top w:val="nil"/>
              <w:left w:val="nil"/>
              <w:bottom w:val="single" w:sz="4" w:space="0" w:color="000000"/>
              <w:right w:val="nil"/>
            </w:tcBorders>
            <w:vAlign w:val="center"/>
          </w:tcPr>
          <w:p w14:paraId="3AD46D7F" w14:textId="77777777" w:rsidR="00D11827" w:rsidRPr="00D11827" w:rsidRDefault="00D11827" w:rsidP="004F2F42">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(0.11 - 0.17)</w:t>
            </w:r>
          </w:p>
        </w:tc>
        <w:tc>
          <w:tcPr>
            <w:tcW w:w="1485" w:type="dxa"/>
            <w:tcBorders>
              <w:top w:val="nil"/>
              <w:left w:val="nil"/>
              <w:bottom w:val="single" w:sz="4" w:space="0" w:color="000000"/>
              <w:right w:val="nil"/>
            </w:tcBorders>
            <w:vAlign w:val="center"/>
          </w:tcPr>
          <w:p w14:paraId="02796B3F" w14:textId="77777777" w:rsidR="00D11827" w:rsidRPr="00D11827" w:rsidRDefault="00D11827" w:rsidP="004F2F42">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(0.17 - 0.35)</w:t>
            </w:r>
          </w:p>
        </w:tc>
        <w:tc>
          <w:tcPr>
            <w:tcW w:w="1560" w:type="dxa"/>
            <w:tcBorders>
              <w:top w:val="nil"/>
              <w:left w:val="nil"/>
              <w:bottom w:val="single" w:sz="4" w:space="0" w:color="000000"/>
              <w:right w:val="single" w:sz="4" w:space="0" w:color="000000"/>
            </w:tcBorders>
            <w:vAlign w:val="center"/>
          </w:tcPr>
          <w:p w14:paraId="0713F5A8" w14:textId="77777777" w:rsidR="00D11827" w:rsidRPr="00D11827" w:rsidRDefault="00D11827" w:rsidP="004F2F42">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(0.21 - 0.30)</w:t>
            </w:r>
          </w:p>
        </w:tc>
      </w:tr>
      <w:tr w:rsidR="00D11827" w:rsidRPr="00D11827" w14:paraId="7D96DCC5" w14:textId="77777777" w:rsidTr="004F2F42">
        <w:trPr>
          <w:trHeight w:val="320"/>
          <w:jc w:val="center"/>
        </w:trPr>
        <w:tc>
          <w:tcPr>
            <w:tcW w:w="1260" w:type="dxa"/>
            <w:vMerge w:val="restart"/>
            <w:tcBorders>
              <w:top w:val="nil"/>
              <w:left w:val="single" w:sz="4" w:space="0" w:color="000000"/>
              <w:bottom w:val="single" w:sz="4" w:space="0" w:color="000000"/>
              <w:right w:val="single" w:sz="4" w:space="0" w:color="000000"/>
            </w:tcBorders>
            <w:vAlign w:val="center"/>
          </w:tcPr>
          <w:p w14:paraId="2A143EE6" w14:textId="77777777" w:rsidR="00D11827" w:rsidRPr="00D11827" w:rsidRDefault="00D11827" w:rsidP="004F2F42">
            <w:pPr>
              <w:spacing w:after="60" w:line="480" w:lineRule="auto"/>
              <w:rPr>
                <w:rFonts w:ascii="Times New Roman" w:hAnsi="Times New Roman" w:cs="Times New Roman"/>
                <w:b/>
                <w:bCs/>
                <w:color w:val="000000" w:themeColor="text1"/>
              </w:rPr>
            </w:pPr>
            <w:r w:rsidRPr="00D11827">
              <w:rPr>
                <w:rFonts w:ascii="Times New Roman" w:hAnsi="Times New Roman" w:cs="Times New Roman"/>
                <w:b/>
                <w:bCs/>
                <w:color w:val="000000" w:themeColor="text1"/>
              </w:rPr>
              <w:t>Speed (m/s)</w:t>
            </w:r>
          </w:p>
        </w:tc>
        <w:tc>
          <w:tcPr>
            <w:tcW w:w="1440" w:type="dxa"/>
            <w:tcBorders>
              <w:top w:val="nil"/>
              <w:left w:val="nil"/>
              <w:bottom w:val="nil"/>
              <w:right w:val="nil"/>
            </w:tcBorders>
            <w:vAlign w:val="center"/>
          </w:tcPr>
          <w:p w14:paraId="65BDBBA1" w14:textId="77777777" w:rsidR="00D11827" w:rsidRPr="00D11827" w:rsidRDefault="00D11827" w:rsidP="004F2F42">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0.177</w:t>
            </w:r>
          </w:p>
        </w:tc>
        <w:tc>
          <w:tcPr>
            <w:tcW w:w="1440" w:type="dxa"/>
            <w:tcBorders>
              <w:top w:val="nil"/>
              <w:left w:val="nil"/>
              <w:bottom w:val="nil"/>
              <w:right w:val="nil"/>
            </w:tcBorders>
            <w:vAlign w:val="center"/>
          </w:tcPr>
          <w:p w14:paraId="3AD40F47" w14:textId="77777777" w:rsidR="00D11827" w:rsidRPr="00D11827" w:rsidRDefault="00D11827" w:rsidP="004F2F42">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0.184</w:t>
            </w:r>
          </w:p>
        </w:tc>
        <w:tc>
          <w:tcPr>
            <w:tcW w:w="1470" w:type="dxa"/>
            <w:tcBorders>
              <w:top w:val="nil"/>
              <w:left w:val="nil"/>
              <w:bottom w:val="nil"/>
              <w:right w:val="nil"/>
            </w:tcBorders>
            <w:vAlign w:val="center"/>
          </w:tcPr>
          <w:p w14:paraId="745AFBB8" w14:textId="77777777" w:rsidR="00D11827" w:rsidRPr="00D11827" w:rsidRDefault="00D11827" w:rsidP="004F2F42">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0.171</w:t>
            </w:r>
          </w:p>
        </w:tc>
        <w:tc>
          <w:tcPr>
            <w:tcW w:w="1485" w:type="dxa"/>
            <w:tcBorders>
              <w:top w:val="nil"/>
              <w:left w:val="nil"/>
              <w:bottom w:val="nil"/>
              <w:right w:val="nil"/>
            </w:tcBorders>
            <w:vAlign w:val="center"/>
          </w:tcPr>
          <w:p w14:paraId="6177B562" w14:textId="77777777" w:rsidR="00D11827" w:rsidRPr="00D11827" w:rsidRDefault="00D11827" w:rsidP="004F2F42">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0.202</w:t>
            </w:r>
          </w:p>
        </w:tc>
        <w:tc>
          <w:tcPr>
            <w:tcW w:w="1560" w:type="dxa"/>
            <w:tcBorders>
              <w:top w:val="nil"/>
              <w:left w:val="nil"/>
              <w:bottom w:val="nil"/>
              <w:right w:val="single" w:sz="4" w:space="0" w:color="000000"/>
            </w:tcBorders>
            <w:vAlign w:val="center"/>
          </w:tcPr>
          <w:p w14:paraId="48764DE3" w14:textId="77777777" w:rsidR="00D11827" w:rsidRPr="00D11827" w:rsidRDefault="00D11827" w:rsidP="004F2F42">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0.182</w:t>
            </w:r>
          </w:p>
        </w:tc>
      </w:tr>
      <w:tr w:rsidR="00D11827" w:rsidRPr="00D11827" w14:paraId="089F7B1A" w14:textId="77777777" w:rsidTr="004F2F42">
        <w:trPr>
          <w:trHeight w:val="320"/>
          <w:jc w:val="center"/>
        </w:trPr>
        <w:tc>
          <w:tcPr>
            <w:tcW w:w="1260" w:type="dxa"/>
            <w:vMerge/>
            <w:tcBorders>
              <w:top w:val="nil"/>
              <w:left w:val="single" w:sz="4" w:space="0" w:color="000000"/>
              <w:bottom w:val="single" w:sz="4" w:space="0" w:color="000000"/>
              <w:right w:val="single" w:sz="4" w:space="0" w:color="000000"/>
            </w:tcBorders>
            <w:vAlign w:val="center"/>
          </w:tcPr>
          <w:p w14:paraId="1FA07392" w14:textId="77777777" w:rsidR="00D11827" w:rsidRPr="00D11827" w:rsidRDefault="00D11827" w:rsidP="004F2F42">
            <w:pPr>
              <w:widowControl w:val="0"/>
              <w:pBdr>
                <w:top w:val="nil"/>
                <w:left w:val="nil"/>
                <w:bottom w:val="nil"/>
                <w:right w:val="nil"/>
                <w:between w:val="nil"/>
              </w:pBdr>
              <w:spacing w:after="0" w:line="480" w:lineRule="auto"/>
              <w:rPr>
                <w:rFonts w:ascii="Times New Roman" w:hAnsi="Times New Roman" w:cs="Times New Roman"/>
                <w:color w:val="000000" w:themeColor="text1"/>
              </w:rPr>
            </w:pPr>
          </w:p>
        </w:tc>
        <w:tc>
          <w:tcPr>
            <w:tcW w:w="1440" w:type="dxa"/>
            <w:tcBorders>
              <w:top w:val="nil"/>
              <w:left w:val="nil"/>
              <w:bottom w:val="single" w:sz="4" w:space="0" w:color="000000"/>
              <w:right w:val="nil"/>
            </w:tcBorders>
            <w:vAlign w:val="center"/>
          </w:tcPr>
          <w:p w14:paraId="697E6135" w14:textId="77777777" w:rsidR="00D11827" w:rsidRPr="00D11827" w:rsidRDefault="00D11827" w:rsidP="004F2F42">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(0.15 - 0.21)</w:t>
            </w:r>
          </w:p>
        </w:tc>
        <w:tc>
          <w:tcPr>
            <w:tcW w:w="1440" w:type="dxa"/>
            <w:tcBorders>
              <w:top w:val="nil"/>
              <w:left w:val="nil"/>
              <w:bottom w:val="single" w:sz="4" w:space="0" w:color="000000"/>
              <w:right w:val="nil"/>
            </w:tcBorders>
            <w:vAlign w:val="center"/>
          </w:tcPr>
          <w:p w14:paraId="30641ECC" w14:textId="77777777" w:rsidR="00D11827" w:rsidRPr="00D11827" w:rsidRDefault="00D11827" w:rsidP="004F2F42">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(0.16 - 0.22)</w:t>
            </w:r>
          </w:p>
        </w:tc>
        <w:tc>
          <w:tcPr>
            <w:tcW w:w="1470" w:type="dxa"/>
            <w:tcBorders>
              <w:top w:val="nil"/>
              <w:left w:val="nil"/>
              <w:bottom w:val="single" w:sz="4" w:space="0" w:color="000000"/>
              <w:right w:val="nil"/>
            </w:tcBorders>
            <w:vAlign w:val="center"/>
          </w:tcPr>
          <w:p w14:paraId="0BFE4B35" w14:textId="77777777" w:rsidR="00D11827" w:rsidRPr="00D11827" w:rsidRDefault="00D11827" w:rsidP="004F2F42">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(0.14 - 0.20)</w:t>
            </w:r>
          </w:p>
        </w:tc>
        <w:tc>
          <w:tcPr>
            <w:tcW w:w="1485" w:type="dxa"/>
            <w:tcBorders>
              <w:top w:val="nil"/>
              <w:left w:val="nil"/>
              <w:bottom w:val="single" w:sz="4" w:space="0" w:color="000000"/>
              <w:right w:val="nil"/>
            </w:tcBorders>
            <w:vAlign w:val="center"/>
          </w:tcPr>
          <w:p w14:paraId="3597F497" w14:textId="77777777" w:rsidR="00D11827" w:rsidRPr="00D11827" w:rsidRDefault="00D11827" w:rsidP="004F2F42">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(0.16 - 0.25)</w:t>
            </w:r>
          </w:p>
        </w:tc>
        <w:tc>
          <w:tcPr>
            <w:tcW w:w="1560" w:type="dxa"/>
            <w:tcBorders>
              <w:top w:val="nil"/>
              <w:left w:val="nil"/>
              <w:bottom w:val="single" w:sz="4" w:space="0" w:color="000000"/>
              <w:right w:val="single" w:sz="4" w:space="0" w:color="000000"/>
            </w:tcBorders>
            <w:vAlign w:val="center"/>
          </w:tcPr>
          <w:p w14:paraId="218F1182" w14:textId="77777777" w:rsidR="00D11827" w:rsidRPr="00D11827" w:rsidRDefault="00D11827" w:rsidP="004F2F42">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(0.15 - 0.22)</w:t>
            </w:r>
          </w:p>
        </w:tc>
      </w:tr>
    </w:tbl>
    <w:p w14:paraId="68E4E14A" w14:textId="77777777" w:rsidR="00D11827" w:rsidRPr="00D11827" w:rsidRDefault="00D11827" w:rsidP="00D11827"/>
    <w:p w14:paraId="182A2C55" w14:textId="77777777" w:rsidR="00D11827" w:rsidRDefault="00D11827" w:rsidP="00D11827">
      <w:pPr>
        <w:pStyle w:val="Heading1"/>
        <w:rPr>
          <w:rFonts w:ascii="Times New Roman" w:hAnsi="Times New Roman" w:cs="Times New Roman"/>
          <w:color w:val="000000" w:themeColor="text1"/>
          <w:sz w:val="24"/>
          <w:szCs w:val="24"/>
        </w:rPr>
        <w:sectPr w:rsidR="00D11827">
          <w:pgSz w:w="11906" w:h="16838"/>
          <w:pgMar w:top="1440" w:right="1440" w:bottom="1440" w:left="1440" w:header="708" w:footer="708" w:gutter="0"/>
          <w:lnNumType w:countBy="1" w:restart="continuous"/>
          <w:cols w:space="720"/>
        </w:sectPr>
      </w:pPr>
    </w:p>
    <w:p w14:paraId="3E6894E1" w14:textId="4819B6BB" w:rsidR="00D11827" w:rsidRDefault="00EB0E99" w:rsidP="00EB0E99">
      <w:pPr>
        <w:pStyle w:val="Heading1"/>
        <w:numPr>
          <w:ilvl w:val="0"/>
          <w:numId w:val="1"/>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FIGURE LEGENDS</w:t>
      </w:r>
    </w:p>
    <w:p w14:paraId="07906BA6" w14:textId="33C78447" w:rsidR="00D11827" w:rsidRPr="00D11827" w:rsidRDefault="00D11827" w:rsidP="00D11827">
      <w:pPr>
        <w:spacing w:after="60" w:line="480" w:lineRule="auto"/>
        <w:rPr>
          <w:rFonts w:ascii="Times New Roman" w:hAnsi="Times New Roman" w:cs="Times New Roman"/>
          <w:color w:val="000000" w:themeColor="text1"/>
        </w:rPr>
      </w:pPr>
      <w:r w:rsidRPr="00D11827">
        <w:rPr>
          <w:rFonts w:ascii="Times New Roman" w:hAnsi="Times New Roman" w:cs="Times New Roman"/>
          <w:b/>
          <w:bCs/>
          <w:color w:val="000000" w:themeColor="text1"/>
        </w:rPr>
        <w:t xml:space="preserve">Fig 1. Jaguar tracking data on Maracá and Jipioca islands. </w:t>
      </w:r>
      <w:r w:rsidRPr="00D11827">
        <w:rPr>
          <w:rFonts w:ascii="Times New Roman" w:hAnsi="Times New Roman" w:cs="Times New Roman"/>
          <w:color w:val="000000" w:themeColor="text1"/>
        </w:rPr>
        <w:t>Maps depicting the GPS locations of the 7 monitored animals as well as the land classifications on Maracá and Jipioca islands. Land classifications were based off of the 2023 MapBiomas land classification maps (</w:t>
      </w:r>
      <w:hyperlink r:id="rId12">
        <w:r w:rsidRPr="00D11827">
          <w:rPr>
            <w:rFonts w:ascii="Times New Roman" w:hAnsi="Times New Roman" w:cs="Times New Roman"/>
            <w:color w:val="000000" w:themeColor="text1"/>
            <w:u w:val="single"/>
          </w:rPr>
          <w:t>http://mapbiomas.org</w:t>
        </w:r>
      </w:hyperlink>
      <w:r w:rsidRPr="00D11827">
        <w:rPr>
          <w:rFonts w:ascii="Times New Roman" w:hAnsi="Times New Roman" w:cs="Times New Roman"/>
          <w:color w:val="000000" w:themeColor="text1"/>
        </w:rPr>
        <w:t xml:space="preserve">). The inset depicts the location of Maracá and Jipioca islands off of the northern coast of Brazil. </w:t>
      </w:r>
      <w:r w:rsidRPr="00D11827">
        <w:rPr>
          <w:rFonts w:ascii="Times New Roman" w:hAnsi="Times New Roman" w:cs="Times New Roman"/>
        </w:rPr>
        <w:t>MapBiomas – Collection 10 of the 2023 series of Maps of Land Cover and Land Use of Brazil, accessed on June 1 2025 via the link: https://storage.googleapis.com/mapbiomas-public/initiatives/brasil/collection_10/lulc/coverage/brazil_coverage_2024.tif</w:t>
      </w:r>
    </w:p>
    <w:p w14:paraId="625CA512" w14:textId="2F061C53" w:rsidR="00D11827" w:rsidRDefault="00D11827" w:rsidP="00D11827">
      <w:pPr>
        <w:spacing w:after="60" w:line="480" w:lineRule="auto"/>
        <w:rPr>
          <w:rFonts w:ascii="Times New Roman" w:hAnsi="Times New Roman" w:cs="Times New Roman"/>
          <w:color w:val="000000" w:themeColor="text1"/>
        </w:rPr>
      </w:pPr>
      <w:r w:rsidRPr="00D11827">
        <w:rPr>
          <w:rFonts w:ascii="Times New Roman" w:hAnsi="Times New Roman" w:cs="Times New Roman"/>
          <w:b/>
          <w:bCs/>
          <w:color w:val="000000" w:themeColor="text1"/>
        </w:rPr>
        <w:t xml:space="preserve">Fig 2. Jaguar space use and home-range behaviour. </w:t>
      </w:r>
      <w:r w:rsidRPr="00D11827">
        <w:rPr>
          <w:rFonts w:ascii="Times New Roman" w:hAnsi="Times New Roman" w:cs="Times New Roman"/>
          <w:color w:val="000000" w:themeColor="text1"/>
        </w:rPr>
        <w:t>Maps depicting the (A) GPS locations, and (B) home ranges of the 7 monitored animals. In both panels the colours of the points and contours correspond to individual animals. The boxplot in (C) shows how home-range size differs between the sexes, while the scatterplots show home-range size versus (D) weight, and (E) age. Land classifications were based off of the 2023 MapBiomas land classification maps (</w:t>
      </w:r>
      <w:hyperlink r:id="rId13">
        <w:r w:rsidRPr="00D11827">
          <w:rPr>
            <w:rFonts w:ascii="Times New Roman" w:hAnsi="Times New Roman" w:cs="Times New Roman"/>
            <w:color w:val="000000" w:themeColor="text1"/>
            <w:u w:val="single"/>
          </w:rPr>
          <w:t>http://mapbiomas.org</w:t>
        </w:r>
      </w:hyperlink>
      <w:r w:rsidRPr="00D11827">
        <w:rPr>
          <w:rFonts w:ascii="Times New Roman" w:hAnsi="Times New Roman" w:cs="Times New Roman"/>
          <w:color w:val="000000" w:themeColor="text1"/>
        </w:rPr>
        <w:t xml:space="preserve">). </w:t>
      </w:r>
      <w:r w:rsidRPr="00D11827">
        <w:rPr>
          <w:rFonts w:ascii="Times New Roman" w:hAnsi="Times New Roman" w:cs="Times New Roman"/>
        </w:rPr>
        <w:t>MapBiomas – Collection 10 of the 2023 series of Maps of Land Cover and Land Use of Brazil, accessed on June 1 2025 via the link: https://storage.googleapis.com/mapbiomas</w:t>
      </w:r>
      <w:r>
        <w:rPr>
          <w:rFonts w:ascii="Times New Roman" w:hAnsi="Times New Roman" w:cs="Times New Roman"/>
        </w:rPr>
        <w:t>-</w:t>
      </w:r>
      <w:r w:rsidRPr="00D11827">
        <w:rPr>
          <w:rFonts w:ascii="Times New Roman" w:hAnsi="Times New Roman" w:cs="Times New Roman"/>
        </w:rPr>
        <w:t>public/initiatives/brasil/collection_10/lulc/coverage/brazil_coverage_2024.tif.</w:t>
      </w:r>
      <w:r w:rsidRPr="00D11827">
        <w:rPr>
          <w:rFonts w:ascii="Times New Roman" w:hAnsi="Times New Roman" w:cs="Times New Roman"/>
          <w:color w:val="000000" w:themeColor="text1"/>
        </w:rPr>
        <w:t xml:space="preserve"> Individual home range estimates are also shown in Fig S2.</w:t>
      </w:r>
    </w:p>
    <w:p w14:paraId="1466A488" w14:textId="77777777" w:rsidR="00D11827" w:rsidRPr="00D11827" w:rsidRDefault="00D11827" w:rsidP="00D11827">
      <w:pPr>
        <w:spacing w:after="60" w:line="480" w:lineRule="auto"/>
        <w:rPr>
          <w:rFonts w:ascii="Times New Roman" w:hAnsi="Times New Roman" w:cs="Times New Roman"/>
          <w:color w:val="000000" w:themeColor="text1"/>
        </w:rPr>
      </w:pPr>
      <w:r w:rsidRPr="00D11827">
        <w:rPr>
          <w:rFonts w:ascii="Times New Roman" w:hAnsi="Times New Roman" w:cs="Times New Roman"/>
          <w:b/>
          <w:bCs/>
          <w:color w:val="000000" w:themeColor="text1"/>
        </w:rPr>
        <w:t xml:space="preserve">Fig 3. Patterns of jaguar socio-spatial behaviour. </w:t>
      </w:r>
      <w:r w:rsidRPr="00D11827">
        <w:rPr>
          <w:rFonts w:ascii="Times New Roman" w:hAnsi="Times New Roman" w:cs="Times New Roman"/>
          <w:color w:val="000000" w:themeColor="text1"/>
        </w:rPr>
        <w:t xml:space="preserve">The boxplots in panel (A) depict the distribution of the home-range overlap estimates between the different pairwise combinations of sexes (n = 10 dyads). Panel (B) shows the estimated proximity ratios (+/- 95%CIs) as a function of home-range overlap for the 10 dyads. A proximity ratio of 1 indicates statistically independent movement, whereas values above 1 individuals were further apart than expected </w:t>
      </w:r>
      <w:r w:rsidRPr="00D11827">
        <w:rPr>
          <w:rFonts w:ascii="Times New Roman" w:hAnsi="Times New Roman" w:cs="Times New Roman"/>
          <w:color w:val="000000" w:themeColor="text1"/>
        </w:rPr>
        <w:lastRenderedPageBreak/>
        <w:t>by independent movement, and vice versa for proximity ratios below 1. Panel (C) shows the distribution of encounter events over the annual cycle.</w:t>
      </w:r>
    </w:p>
    <w:p w14:paraId="40C2B1E0" w14:textId="77777777" w:rsidR="00D11827" w:rsidRPr="00D11827" w:rsidRDefault="00D11827" w:rsidP="00D11827">
      <w:pPr>
        <w:spacing w:after="60" w:line="480" w:lineRule="auto"/>
        <w:rPr>
          <w:rFonts w:ascii="Times New Roman" w:hAnsi="Times New Roman" w:cs="Times New Roman"/>
          <w:color w:val="000000" w:themeColor="text1"/>
        </w:rPr>
      </w:pPr>
      <w:r w:rsidRPr="00D11827">
        <w:rPr>
          <w:rFonts w:ascii="Times New Roman" w:hAnsi="Times New Roman" w:cs="Times New Roman"/>
          <w:b/>
          <w:bCs/>
          <w:color w:val="000000" w:themeColor="text1"/>
        </w:rPr>
        <w:t>Fig 4. Jaguar movement speed and activity.</w:t>
      </w:r>
      <w:r w:rsidRPr="00D11827">
        <w:rPr>
          <w:rFonts w:ascii="Times New Roman" w:hAnsi="Times New Roman" w:cs="Times New Roman"/>
          <w:color w:val="000000" w:themeColor="text1"/>
        </w:rPr>
        <w:t xml:space="preserve"> Panel (A) depicts boxplots of movement speed between the sexes; as well as scatterplot of movement speed versus (B) weight, and (C) age. Panel (D) shows the distribution of locations classified of resting versus moving, based on the estimated movement speeds in each of Maraca’s five core habitat types. Panel (E) shows the eight monitored jaguars’ estimated instantaneous movement speeds while active in each of Maraca’s five core habitat types.</w:t>
      </w:r>
    </w:p>
    <w:p w14:paraId="082EA842" w14:textId="77777777" w:rsidR="00D11827" w:rsidRPr="00D11827" w:rsidRDefault="00D11827" w:rsidP="00D11827">
      <w:pPr>
        <w:spacing w:after="0" w:line="480" w:lineRule="auto"/>
        <w:rPr>
          <w:rFonts w:ascii="Times New Roman" w:hAnsi="Times New Roman" w:cs="Times New Roman"/>
          <w:color w:val="000000" w:themeColor="text1"/>
        </w:rPr>
      </w:pPr>
      <w:r w:rsidRPr="00D11827">
        <w:rPr>
          <w:rFonts w:ascii="Times New Roman" w:hAnsi="Times New Roman" w:cs="Times New Roman"/>
          <w:b/>
          <w:bCs/>
          <w:color w:val="000000" w:themeColor="text1"/>
        </w:rPr>
        <w:t xml:space="preserve">Fig 5. Circadian rhythms of jaguars on Maracá-Jipioca Islands. </w:t>
      </w:r>
      <w:r w:rsidRPr="00D11827">
        <w:rPr>
          <w:rFonts w:ascii="Times New Roman" w:hAnsi="Times New Roman" w:cs="Times New Roman"/>
          <w:color w:val="000000" w:themeColor="text1"/>
        </w:rPr>
        <w:t>Panel (A) shows histograms of the distributions of resting, versus active behaviour over the course of a day. Panels (B) and (C) show the partial effects of a hierarchical generalised additive model fitted to the activity data. The curves in (D) show the full model predictions, demonstrating how the activity patterns of male and female jaguars change throughout a 24-hour period.</w:t>
      </w:r>
    </w:p>
    <w:p w14:paraId="03F6B05A" w14:textId="4F083888" w:rsidR="00D11827" w:rsidRPr="00D11827" w:rsidRDefault="00D11827" w:rsidP="00D11827">
      <w:pPr>
        <w:spacing w:after="60" w:line="480" w:lineRule="auto"/>
        <w:rPr>
          <w:rFonts w:ascii="Times New Roman" w:hAnsi="Times New Roman" w:cs="Times New Roman"/>
          <w:color w:val="000000" w:themeColor="text1"/>
        </w:rPr>
      </w:pPr>
      <w:r w:rsidRPr="00D11827">
        <w:rPr>
          <w:rFonts w:ascii="Times New Roman" w:hAnsi="Times New Roman" w:cs="Times New Roman"/>
          <w:b/>
          <w:bCs/>
          <w:color w:val="000000" w:themeColor="text1"/>
        </w:rPr>
        <w:t xml:space="preserve">Fig 6. Jaguar habitat selection on Maracá-Jipioca Islands. </w:t>
      </w:r>
      <w:r w:rsidRPr="00D11827">
        <w:rPr>
          <w:rFonts w:ascii="Times New Roman" w:hAnsi="Times New Roman" w:cs="Times New Roman"/>
          <w:color w:val="000000" w:themeColor="text1"/>
        </w:rPr>
        <w:t>Panel (A) shows the estimated habitat selection (λ) for jaguars on Maracá-Jipioca Islands. Panel (B) shows the estimated λ for each of the core habitat types as a function of distance to coast.</w:t>
      </w:r>
    </w:p>
    <w:p w14:paraId="29D8117D" w14:textId="77777777" w:rsidR="00D11827" w:rsidRPr="00D11827" w:rsidRDefault="00D11827" w:rsidP="00D11827">
      <w:pPr>
        <w:spacing w:after="60" w:line="480" w:lineRule="auto"/>
        <w:rPr>
          <w:rFonts w:ascii="Times New Roman" w:hAnsi="Times New Roman" w:cs="Times New Roman"/>
          <w:b/>
          <w:bCs/>
          <w:color w:val="000000" w:themeColor="text1"/>
        </w:rPr>
      </w:pPr>
      <w:r w:rsidRPr="00D11827">
        <w:rPr>
          <w:rFonts w:ascii="Times New Roman" w:hAnsi="Times New Roman" w:cs="Times New Roman"/>
          <w:b/>
          <w:bCs/>
          <w:color w:val="000000" w:themeColor="text1"/>
        </w:rPr>
        <w:t xml:space="preserve">Fig 7. Jaguar habitat use and tidal patterns. </w:t>
      </w:r>
      <w:r w:rsidRPr="00D11827">
        <w:rPr>
          <w:rFonts w:ascii="Times New Roman" w:hAnsi="Times New Roman" w:cs="Times New Roman"/>
          <w:color w:val="000000" w:themeColor="text1"/>
        </w:rPr>
        <w:t>Panel (A) shows the sea level, in meters above sea level, directly off of the coast of Maracá-Jipioca Islands between 2022-09-01 and 2025-01-10. The scatterplot in (B) shows the jaguars’ distance to the coast over the same time window. Panel (C) depicts the jaguars’ distance to coast as a function of the seal level. The green line shows the fitted generalised linear regression model.</w:t>
      </w:r>
    </w:p>
    <w:p w14:paraId="42BC02FF" w14:textId="77777777" w:rsidR="00D11827" w:rsidRDefault="00D11827" w:rsidP="00D11827">
      <w:pPr>
        <w:rPr>
          <w:rFonts w:ascii="Times New Roman" w:hAnsi="Times New Roman" w:cs="Times New Roman"/>
          <w:b/>
          <w:bCs/>
          <w:color w:val="000000" w:themeColor="text1"/>
        </w:rPr>
        <w:sectPr w:rsidR="00D11827">
          <w:pgSz w:w="11906" w:h="16838"/>
          <w:pgMar w:top="1440" w:right="1440" w:bottom="1440" w:left="1440" w:header="708" w:footer="708" w:gutter="0"/>
          <w:lnNumType w:countBy="1" w:restart="continuous"/>
          <w:cols w:space="720"/>
        </w:sectPr>
      </w:pPr>
    </w:p>
    <w:p w14:paraId="4B16F219" w14:textId="7FC84C0E" w:rsidR="00D11827" w:rsidRPr="00EB0E99" w:rsidRDefault="00EB0E99" w:rsidP="00EB0E99">
      <w:pPr>
        <w:pStyle w:val="ListParagraph"/>
        <w:numPr>
          <w:ilvl w:val="0"/>
          <w:numId w:val="1"/>
        </w:numPr>
        <w:rPr>
          <w:b/>
          <w:bCs/>
        </w:rPr>
      </w:pPr>
      <w:r w:rsidRPr="00EB0E99">
        <w:rPr>
          <w:rFonts w:ascii="Times New Roman" w:hAnsi="Times New Roman" w:cs="Times New Roman"/>
          <w:b/>
          <w:bCs/>
          <w:color w:val="000000" w:themeColor="text1"/>
        </w:rPr>
        <w:lastRenderedPageBreak/>
        <w:t>FIGURES</w:t>
      </w:r>
    </w:p>
    <w:p w14:paraId="4D6F072A" w14:textId="77777777" w:rsidR="00D11827" w:rsidRDefault="00D11827" w:rsidP="00D11827">
      <w:pPr>
        <w:pStyle w:val="Heading1"/>
        <w:rPr>
          <w:rFonts w:ascii="Times New Roman" w:hAnsi="Times New Roman" w:cs="Times New Roman"/>
          <w:color w:val="000000" w:themeColor="text1"/>
          <w:sz w:val="24"/>
          <w:szCs w:val="24"/>
        </w:rPr>
        <w:sectPr w:rsidR="00D11827">
          <w:pgSz w:w="11906" w:h="16838"/>
          <w:pgMar w:top="1440" w:right="1440" w:bottom="1440" w:left="1440" w:header="708" w:footer="708" w:gutter="0"/>
          <w:lnNumType w:countBy="1" w:restart="continuous"/>
          <w:cols w:space="720"/>
        </w:sectPr>
      </w:pPr>
    </w:p>
    <w:p w14:paraId="47E70A44" w14:textId="3F712DD5" w:rsidR="003D4EB1" w:rsidRPr="00D11827" w:rsidRDefault="00EB0E99" w:rsidP="00EB0E99">
      <w:pPr>
        <w:pStyle w:val="Heading1"/>
        <w:numPr>
          <w:ilvl w:val="0"/>
          <w:numId w:val="1"/>
        </w:numPr>
        <w:rPr>
          <w:rFonts w:ascii="Times New Roman" w:hAnsi="Times New Roman" w:cs="Times New Roman"/>
          <w:color w:val="000000" w:themeColor="text1"/>
          <w:sz w:val="24"/>
          <w:szCs w:val="24"/>
        </w:rPr>
      </w:pPr>
      <w:r w:rsidRPr="00D11827">
        <w:rPr>
          <w:rFonts w:ascii="Times New Roman" w:hAnsi="Times New Roman" w:cs="Times New Roman"/>
          <w:color w:val="000000" w:themeColor="text1"/>
          <w:sz w:val="24"/>
          <w:szCs w:val="24"/>
        </w:rPr>
        <w:lastRenderedPageBreak/>
        <w:t>ACKNOWLEDGMENTS</w:t>
      </w:r>
    </w:p>
    <w:p w14:paraId="26587961" w14:textId="48AAA905" w:rsidR="003D4EB1" w:rsidRPr="00EB0E99" w:rsidRDefault="00000000" w:rsidP="00D11827">
      <w:pPr>
        <w:spacing w:after="60" w:line="480" w:lineRule="auto"/>
        <w:rPr>
          <w:rFonts w:ascii="Times New Roman" w:hAnsi="Times New Roman" w:cs="Times New Roman"/>
          <w:color w:val="000000" w:themeColor="text1"/>
        </w:rPr>
      </w:pPr>
      <w:bookmarkStart w:id="18" w:name="_18fscw96u8u8" w:colFirst="0" w:colLast="0"/>
      <w:bookmarkEnd w:id="18"/>
      <w:r w:rsidRPr="00D11827">
        <w:rPr>
          <w:rFonts w:ascii="Times New Roman" w:hAnsi="Times New Roman" w:cs="Times New Roman"/>
          <w:color w:val="000000" w:themeColor="text1"/>
        </w:rPr>
        <w:t>We would like to acknowledge the many field and laboratory technicians who assisted with the data collection. We thank ICMBIO for giving the permits to carry this study.</w:t>
      </w:r>
      <w:bookmarkStart w:id="19" w:name="_ygtvd7mst89q" w:colFirst="0" w:colLast="0"/>
      <w:bookmarkStart w:id="20" w:name="_dop3cl7p8erh" w:colFirst="0" w:colLast="0"/>
      <w:bookmarkEnd w:id="19"/>
      <w:bookmarkEnd w:id="20"/>
    </w:p>
    <w:p w14:paraId="2B35548F" w14:textId="77777777" w:rsidR="003D4EB1" w:rsidRPr="00D11827" w:rsidRDefault="00000000" w:rsidP="00D11827">
      <w:pPr>
        <w:pStyle w:val="Heading1"/>
        <w:rPr>
          <w:rFonts w:ascii="Times New Roman" w:hAnsi="Times New Roman" w:cs="Times New Roman"/>
          <w:color w:val="000000" w:themeColor="text1"/>
          <w:sz w:val="24"/>
          <w:szCs w:val="24"/>
        </w:rPr>
      </w:pPr>
      <w:bookmarkStart w:id="21" w:name="_j7v0s5p28vgg" w:colFirst="0" w:colLast="0"/>
      <w:bookmarkEnd w:id="21"/>
      <w:r w:rsidRPr="00D11827">
        <w:rPr>
          <w:rFonts w:ascii="Times New Roman" w:hAnsi="Times New Roman" w:cs="Times New Roman"/>
          <w:color w:val="000000" w:themeColor="text1"/>
          <w:sz w:val="24"/>
          <w:szCs w:val="24"/>
        </w:rPr>
        <w:t>Author contributions</w:t>
      </w:r>
    </w:p>
    <w:p w14:paraId="37F9AF04" w14:textId="77777777" w:rsidR="003D4EB1" w:rsidRPr="00D11827" w:rsidRDefault="00000000" w:rsidP="00D11827">
      <w:pPr>
        <w:spacing w:after="60" w:line="480" w:lineRule="auto"/>
        <w:ind w:left="720"/>
        <w:rPr>
          <w:rFonts w:ascii="Times New Roman" w:hAnsi="Times New Roman" w:cs="Times New Roman"/>
          <w:color w:val="000000" w:themeColor="text1"/>
        </w:rPr>
      </w:pPr>
      <w:r w:rsidRPr="00D11827">
        <w:rPr>
          <w:rFonts w:ascii="Times New Roman" w:hAnsi="Times New Roman" w:cs="Times New Roman"/>
          <w:color w:val="000000" w:themeColor="text1"/>
        </w:rPr>
        <w:t>Conceptualization: LS, FBLP, MAMMF, MJN, TJS, ATAJ, GRA</w:t>
      </w:r>
    </w:p>
    <w:p w14:paraId="00BC07B8" w14:textId="77777777" w:rsidR="003D4EB1" w:rsidRPr="00D11827" w:rsidRDefault="00000000" w:rsidP="00D11827">
      <w:pPr>
        <w:spacing w:after="60" w:line="480" w:lineRule="auto"/>
        <w:ind w:left="720"/>
        <w:rPr>
          <w:rFonts w:ascii="Times New Roman" w:hAnsi="Times New Roman" w:cs="Times New Roman"/>
          <w:color w:val="000000" w:themeColor="text1"/>
        </w:rPr>
      </w:pPr>
      <w:r w:rsidRPr="00D11827">
        <w:rPr>
          <w:rFonts w:ascii="Times New Roman" w:hAnsi="Times New Roman" w:cs="Times New Roman"/>
          <w:color w:val="000000" w:themeColor="text1"/>
        </w:rPr>
        <w:t>Methodology: MJN, LS, RAM</w:t>
      </w:r>
    </w:p>
    <w:p w14:paraId="4880DA76" w14:textId="77777777" w:rsidR="003D4EB1" w:rsidRPr="00D11827" w:rsidRDefault="00000000" w:rsidP="00D11827">
      <w:pPr>
        <w:spacing w:after="60" w:line="480" w:lineRule="auto"/>
        <w:ind w:left="720"/>
        <w:rPr>
          <w:rFonts w:ascii="Times New Roman" w:hAnsi="Times New Roman" w:cs="Times New Roman"/>
          <w:color w:val="000000" w:themeColor="text1"/>
          <w:highlight w:val="yellow"/>
        </w:rPr>
      </w:pPr>
      <w:bookmarkStart w:id="22" w:name="_ooo59r6lcn6i" w:colFirst="0" w:colLast="0"/>
      <w:bookmarkEnd w:id="22"/>
      <w:r w:rsidRPr="00D11827">
        <w:rPr>
          <w:rFonts w:ascii="Times New Roman" w:hAnsi="Times New Roman" w:cs="Times New Roman"/>
          <w:color w:val="000000" w:themeColor="text1"/>
        </w:rPr>
        <w:t>Investigation: MJN</w:t>
      </w:r>
    </w:p>
    <w:p w14:paraId="1249B8B0" w14:textId="77777777" w:rsidR="003D4EB1" w:rsidRPr="00D11827" w:rsidRDefault="00000000" w:rsidP="00D11827">
      <w:pPr>
        <w:spacing w:after="60" w:line="480" w:lineRule="auto"/>
        <w:ind w:left="720"/>
        <w:rPr>
          <w:rFonts w:ascii="Times New Roman" w:hAnsi="Times New Roman" w:cs="Times New Roman"/>
          <w:color w:val="000000" w:themeColor="text1"/>
        </w:rPr>
      </w:pPr>
      <w:r w:rsidRPr="00D11827">
        <w:rPr>
          <w:rFonts w:ascii="Times New Roman" w:hAnsi="Times New Roman" w:cs="Times New Roman"/>
          <w:color w:val="000000" w:themeColor="text1"/>
        </w:rPr>
        <w:t>Visualization: MAMMF, MJN</w:t>
      </w:r>
    </w:p>
    <w:p w14:paraId="313EF262" w14:textId="77777777" w:rsidR="003D4EB1" w:rsidRPr="00D11827" w:rsidRDefault="00000000" w:rsidP="00D11827">
      <w:pPr>
        <w:spacing w:after="60" w:line="480" w:lineRule="auto"/>
        <w:ind w:left="720"/>
        <w:rPr>
          <w:rFonts w:ascii="Times New Roman" w:hAnsi="Times New Roman" w:cs="Times New Roman"/>
          <w:color w:val="000000" w:themeColor="text1"/>
        </w:rPr>
      </w:pPr>
      <w:r w:rsidRPr="00D11827">
        <w:rPr>
          <w:rFonts w:ascii="Times New Roman" w:hAnsi="Times New Roman" w:cs="Times New Roman"/>
          <w:color w:val="000000" w:themeColor="text1"/>
        </w:rPr>
        <w:t>Funding acquisition: MJN, ATAJ</w:t>
      </w:r>
    </w:p>
    <w:p w14:paraId="56E56727" w14:textId="77777777" w:rsidR="003D4EB1" w:rsidRPr="00D11827" w:rsidRDefault="00000000" w:rsidP="00D11827">
      <w:pPr>
        <w:spacing w:after="60" w:line="480" w:lineRule="auto"/>
        <w:ind w:left="720"/>
        <w:rPr>
          <w:rFonts w:ascii="Times New Roman" w:hAnsi="Times New Roman" w:cs="Times New Roman"/>
          <w:color w:val="000000" w:themeColor="text1"/>
        </w:rPr>
      </w:pPr>
      <w:r w:rsidRPr="00D11827">
        <w:rPr>
          <w:rFonts w:ascii="Times New Roman" w:hAnsi="Times New Roman" w:cs="Times New Roman"/>
          <w:color w:val="000000" w:themeColor="text1"/>
        </w:rPr>
        <w:t>Project administration: LS, MJN, ATAJ</w:t>
      </w:r>
    </w:p>
    <w:p w14:paraId="39B31CEF" w14:textId="77777777" w:rsidR="003D4EB1" w:rsidRPr="00D11827" w:rsidRDefault="00000000" w:rsidP="00D11827">
      <w:pPr>
        <w:spacing w:after="60" w:line="480" w:lineRule="auto"/>
        <w:ind w:left="720"/>
        <w:rPr>
          <w:rFonts w:ascii="Times New Roman" w:hAnsi="Times New Roman" w:cs="Times New Roman"/>
          <w:color w:val="000000" w:themeColor="text1"/>
        </w:rPr>
      </w:pPr>
      <w:r w:rsidRPr="00D11827">
        <w:rPr>
          <w:rFonts w:ascii="Times New Roman" w:hAnsi="Times New Roman" w:cs="Times New Roman"/>
          <w:color w:val="000000" w:themeColor="text1"/>
        </w:rPr>
        <w:t>Supervision: LS, MJN</w:t>
      </w:r>
    </w:p>
    <w:p w14:paraId="2769C788" w14:textId="77777777" w:rsidR="003D4EB1" w:rsidRPr="00D11827" w:rsidRDefault="00000000" w:rsidP="00D11827">
      <w:pPr>
        <w:spacing w:after="60" w:line="480" w:lineRule="auto"/>
        <w:ind w:left="720"/>
        <w:rPr>
          <w:rFonts w:ascii="Times New Roman" w:hAnsi="Times New Roman" w:cs="Times New Roman"/>
          <w:color w:val="000000" w:themeColor="text1"/>
        </w:rPr>
      </w:pPr>
      <w:r w:rsidRPr="00D11827">
        <w:rPr>
          <w:rFonts w:ascii="Times New Roman" w:hAnsi="Times New Roman" w:cs="Times New Roman"/>
          <w:color w:val="000000" w:themeColor="text1"/>
        </w:rPr>
        <w:t>Writing – original draft: LS, FBLP, MAMMF, MJN</w:t>
      </w:r>
    </w:p>
    <w:p w14:paraId="2018638E" w14:textId="77777777" w:rsidR="003D4EB1" w:rsidRDefault="00000000" w:rsidP="00D11827">
      <w:pPr>
        <w:spacing w:after="60" w:line="480" w:lineRule="auto"/>
        <w:ind w:left="720"/>
        <w:rPr>
          <w:rFonts w:ascii="Times New Roman" w:hAnsi="Times New Roman" w:cs="Times New Roman"/>
          <w:color w:val="000000" w:themeColor="text1"/>
        </w:rPr>
      </w:pPr>
      <w:bookmarkStart w:id="23" w:name="_cl05z5vin2ez" w:colFirst="0" w:colLast="0"/>
      <w:bookmarkEnd w:id="23"/>
      <w:r w:rsidRPr="00D11827">
        <w:rPr>
          <w:rFonts w:ascii="Times New Roman" w:hAnsi="Times New Roman" w:cs="Times New Roman"/>
          <w:color w:val="000000" w:themeColor="text1"/>
        </w:rPr>
        <w:t>Writing – review &amp; editing: all authors</w:t>
      </w:r>
    </w:p>
    <w:p w14:paraId="38F43D1A" w14:textId="77777777" w:rsidR="00EB0E99" w:rsidRPr="00D11827" w:rsidRDefault="00EB0E99" w:rsidP="00D11827">
      <w:pPr>
        <w:spacing w:after="60" w:line="480" w:lineRule="auto"/>
        <w:ind w:left="720"/>
        <w:rPr>
          <w:rFonts w:ascii="Times New Roman" w:hAnsi="Times New Roman" w:cs="Times New Roman"/>
          <w:color w:val="000000" w:themeColor="text1"/>
        </w:rPr>
      </w:pPr>
    </w:p>
    <w:p w14:paraId="62B00C6F" w14:textId="29533AC4" w:rsidR="003D4EB1" w:rsidRPr="00EB0E99" w:rsidRDefault="00EB0E99" w:rsidP="00EB0E99">
      <w:pPr>
        <w:pStyle w:val="ListParagraph"/>
        <w:numPr>
          <w:ilvl w:val="0"/>
          <w:numId w:val="1"/>
        </w:numPr>
        <w:spacing w:after="60" w:line="480" w:lineRule="auto"/>
        <w:rPr>
          <w:rFonts w:ascii="Times New Roman" w:hAnsi="Times New Roman" w:cs="Times New Roman"/>
          <w:color w:val="000000" w:themeColor="text1"/>
        </w:rPr>
      </w:pPr>
      <w:bookmarkStart w:id="24" w:name="_8gjqpp1m4h8l" w:colFirst="0" w:colLast="0"/>
      <w:bookmarkEnd w:id="24"/>
      <w:r w:rsidRPr="00EB0E99">
        <w:rPr>
          <w:rFonts w:ascii="Times New Roman" w:hAnsi="Times New Roman" w:cs="Times New Roman"/>
          <w:b/>
          <w:bCs/>
          <w:color w:val="000000" w:themeColor="text1"/>
        </w:rPr>
        <w:t>DISCLOSURE STATEMENTS</w:t>
      </w:r>
    </w:p>
    <w:p w14:paraId="16D9F3F7" w14:textId="48811CD9" w:rsidR="003D4EB1" w:rsidRPr="00D11827" w:rsidRDefault="00EB0E99" w:rsidP="00D11827">
      <w:pPr>
        <w:pStyle w:val="Heading1"/>
        <w:rPr>
          <w:rFonts w:ascii="Times New Roman" w:hAnsi="Times New Roman" w:cs="Times New Roman"/>
          <w:color w:val="000000" w:themeColor="text1"/>
          <w:sz w:val="24"/>
          <w:szCs w:val="24"/>
        </w:rPr>
      </w:pPr>
      <w:bookmarkStart w:id="25" w:name="_yovws74b5kgc" w:colFirst="0" w:colLast="0"/>
      <w:bookmarkEnd w:id="25"/>
      <w:r w:rsidRPr="00EB0E99">
        <w:rPr>
          <w:rFonts w:ascii="Times New Roman" w:hAnsi="Times New Roman" w:cs="Times New Roman"/>
          <w:color w:val="000000" w:themeColor="text1"/>
          <w:sz w:val="24"/>
          <w:szCs w:val="24"/>
        </w:rPr>
        <w:t>Conflict</w:t>
      </w:r>
      <w:r>
        <w:rPr>
          <w:rFonts w:ascii="Times New Roman" w:hAnsi="Times New Roman" w:cs="Times New Roman"/>
          <w:color w:val="000000" w:themeColor="text1"/>
          <w:sz w:val="24"/>
          <w:szCs w:val="24"/>
        </w:rPr>
        <w:t xml:space="preserve"> of</w:t>
      </w:r>
      <w:r w:rsidRPr="00D11827">
        <w:rPr>
          <w:rFonts w:ascii="Times New Roman" w:hAnsi="Times New Roman" w:cs="Times New Roman"/>
          <w:color w:val="000000" w:themeColor="text1"/>
          <w:sz w:val="24"/>
          <w:szCs w:val="24"/>
        </w:rPr>
        <w:t xml:space="preserve"> interests</w:t>
      </w:r>
    </w:p>
    <w:p w14:paraId="04D7BD4A" w14:textId="7D756617" w:rsidR="003D4EB1" w:rsidRDefault="00EB0E99" w:rsidP="00EB0E99">
      <w:pPr>
        <w:spacing w:after="60" w:line="480" w:lineRule="auto"/>
        <w:rPr>
          <w:rFonts w:ascii="Times New Roman" w:hAnsi="Times New Roman" w:cs="Times New Roman"/>
          <w:color w:val="000000" w:themeColor="text1"/>
        </w:rPr>
      </w:pPr>
      <w:bookmarkStart w:id="26" w:name="_aof1diy9b0sk" w:colFirst="0" w:colLast="0"/>
      <w:bookmarkStart w:id="27" w:name="_g4hrk1mb1dao" w:colFirst="0" w:colLast="0"/>
      <w:bookmarkEnd w:id="26"/>
      <w:bookmarkEnd w:id="27"/>
      <w:r w:rsidRPr="00EB0E99">
        <w:rPr>
          <w:rFonts w:ascii="Times New Roman" w:hAnsi="Times New Roman" w:cs="Times New Roman"/>
          <w:color w:val="000000" w:themeColor="text1"/>
        </w:rPr>
        <w:t>The corresponding author confirms on behalf of all authors that there have been no involvements that might raise the question of bias in the work reported or in the conclusions, implications, or opinions stated.</w:t>
      </w:r>
    </w:p>
    <w:p w14:paraId="2ED6A6B3" w14:textId="60FACBDF" w:rsidR="00EB0E99" w:rsidRDefault="00EB0E99" w:rsidP="00EB0E99">
      <w:pPr>
        <w:spacing w:after="60" w:line="480" w:lineRule="auto"/>
        <w:rPr>
          <w:rFonts w:ascii="Times New Roman" w:hAnsi="Times New Roman" w:cs="Times New Roman"/>
          <w:b/>
          <w:bCs/>
          <w:color w:val="000000" w:themeColor="text1"/>
        </w:rPr>
      </w:pPr>
      <w:r w:rsidRPr="00EB0E99">
        <w:rPr>
          <w:rFonts w:ascii="Times New Roman" w:hAnsi="Times New Roman" w:cs="Times New Roman"/>
          <w:b/>
          <w:bCs/>
          <w:color w:val="000000" w:themeColor="text1"/>
        </w:rPr>
        <w:t>Ethical Guidelines</w:t>
      </w:r>
    </w:p>
    <w:p w14:paraId="2A0E9504" w14:textId="6E266435" w:rsidR="00EB0E99" w:rsidRPr="00EB0E99" w:rsidRDefault="00EB0E99" w:rsidP="00EB0E99">
      <w:pPr>
        <w:spacing w:after="60" w:line="480" w:lineRule="auto"/>
        <w:rPr>
          <w:rFonts w:ascii="Times New Roman" w:hAnsi="Times New Roman" w:cs="Times New Roman"/>
          <w:color w:val="000000" w:themeColor="text1"/>
        </w:rPr>
      </w:pPr>
      <w:r w:rsidRPr="00EB0E99">
        <w:rPr>
          <w:rFonts w:ascii="Times New Roman" w:hAnsi="Times New Roman" w:cs="Times New Roman"/>
          <w:color w:val="000000" w:themeColor="text1"/>
          <w:u w:val="single"/>
        </w:rPr>
        <w:t>Animals in Research</w:t>
      </w:r>
    </w:p>
    <w:p w14:paraId="6F8911EC" w14:textId="2C834030" w:rsidR="00EB0E99" w:rsidRPr="00EB0E99" w:rsidRDefault="00EB0E99" w:rsidP="00EB0E99">
      <w:pPr>
        <w:spacing w:after="60" w:line="480" w:lineRule="auto"/>
        <w:rPr>
          <w:rFonts w:ascii="Times New Roman" w:hAnsi="Times New Roman" w:cs="Times New Roman"/>
          <w:color w:val="000000" w:themeColor="text1"/>
        </w:rPr>
      </w:pPr>
      <w:r w:rsidRPr="00D11827">
        <w:rPr>
          <w:rFonts w:ascii="Times New Roman" w:hAnsi="Times New Roman" w:cs="Times New Roman"/>
          <w:color w:val="000000" w:themeColor="text1"/>
        </w:rPr>
        <w:t xml:space="preserve">The capture and handling protocols complied with ethical standards and received approval from the Chico Mendes Institute for Biodiversity Conservation, under license number 63094, </w:t>
      </w:r>
      <w:r w:rsidRPr="00D11827">
        <w:rPr>
          <w:rFonts w:ascii="Times New Roman" w:hAnsi="Times New Roman" w:cs="Times New Roman"/>
          <w:color w:val="000000" w:themeColor="text1"/>
        </w:rPr>
        <w:lastRenderedPageBreak/>
        <w:t xml:space="preserve">and the Ethics Committee for Animal Use at the University of Mato Grosso do Sul, under license number nº 1.221/2022. All procedures strictly adhered to the ethical guidelines of the American Society of Mammalogists </w:t>
      </w:r>
      <w:r w:rsidRPr="00D11827">
        <w:rPr>
          <w:rFonts w:ascii="Times New Roman" w:hAnsi="Times New Roman" w:cs="Times New Roman"/>
          <w:color w:val="000000" w:themeColor="text1"/>
        </w:rPr>
        <w:fldChar w:fldCharType="begin"/>
      </w:r>
      <w:r w:rsidR="00E21B60">
        <w:rPr>
          <w:rFonts w:ascii="Times New Roman" w:hAnsi="Times New Roman" w:cs="Times New Roman"/>
          <w:color w:val="000000" w:themeColor="text1"/>
        </w:rPr>
        <w:instrText xml:space="preserve"> ADDIN ZOTERO_ITEM CSL_CITATION {"citationID":"geuh327V","properties":{"formattedCitation":"(Sikes &amp; the Animal Care and Use Committee of the American Society of Mammalogists 2016)","plainCitation":"(Sikes &amp; the Animal Care and Use Committee of the American Society of Mammalogists 2016)","noteIndex":0},"citationItems":[{"id":7976,"uris":["http://zotero.org/users/11476620/items/8G4WKGA4"],"itemData":{"id":7976,"type":"article-journal","container-title":"Journal of Mammalogy","DOI":"10.1093/jmammal/gyw078","ISSN":"0022-2372, 1545-1542","issue":"3","journalAbbreviation":"JMAMMAL","language":"en","page":"663-688","source":"DOI.org (Crossref)","title":"2016 Guidelines of the American Society of Mammalogists for the use of wild mammals in research and education:","title-short":"2016 Guidelines of the American Society of Mammalogists for the use of wild mammals in research and education","volume":"97","author":[{"family":"Sikes","given":"Robert S."},{"literal":"the Animal Care and Use Committee of the American Society of Mammalogists"}],"issued":{"date-parts":[["2016",6,9]]}}}],"schema":"https://github.com/citation-style-language/schema/raw/master/csl-citation.json"} </w:instrText>
      </w:r>
      <w:r w:rsidRPr="00D11827">
        <w:rPr>
          <w:rFonts w:ascii="Times New Roman" w:hAnsi="Times New Roman" w:cs="Times New Roman"/>
          <w:color w:val="000000" w:themeColor="text1"/>
        </w:rPr>
        <w:fldChar w:fldCharType="separate"/>
      </w:r>
      <w:r w:rsidR="00E21B60">
        <w:rPr>
          <w:rFonts w:ascii="Times New Roman" w:hAnsi="Times New Roman" w:cs="Times New Roman"/>
          <w:color w:val="000000" w:themeColor="text1"/>
        </w:rPr>
        <w:t>(Sikes &amp; the Animal Care and Use Committee of the American Society of Mammalogists 2016)</w:t>
      </w:r>
      <w:r w:rsidRPr="00D11827">
        <w:rPr>
          <w:rFonts w:ascii="Times New Roman" w:hAnsi="Times New Roman" w:cs="Times New Roman"/>
          <w:color w:val="000000" w:themeColor="text1"/>
        </w:rPr>
        <w:fldChar w:fldCharType="end"/>
      </w:r>
      <w:r w:rsidRPr="00D11827">
        <w:rPr>
          <w:rFonts w:ascii="Times New Roman" w:hAnsi="Times New Roman" w:cs="Times New Roman"/>
          <w:color w:val="000000" w:themeColor="text1"/>
        </w:rPr>
        <w:t>.</w:t>
      </w:r>
    </w:p>
    <w:p w14:paraId="63857FA5" w14:textId="77777777" w:rsidR="003D4EB1" w:rsidRPr="00D11827" w:rsidRDefault="00000000" w:rsidP="00D11827">
      <w:pPr>
        <w:pStyle w:val="Heading1"/>
        <w:rPr>
          <w:rFonts w:ascii="Times New Roman" w:hAnsi="Times New Roman" w:cs="Times New Roman"/>
          <w:color w:val="000000" w:themeColor="text1"/>
          <w:sz w:val="24"/>
          <w:szCs w:val="24"/>
        </w:rPr>
      </w:pPr>
      <w:bookmarkStart w:id="28" w:name="_j6msrq28kvct" w:colFirst="0" w:colLast="0"/>
      <w:bookmarkEnd w:id="28"/>
      <w:r w:rsidRPr="00D11827">
        <w:rPr>
          <w:rFonts w:ascii="Times New Roman" w:hAnsi="Times New Roman" w:cs="Times New Roman"/>
          <w:color w:val="000000" w:themeColor="text1"/>
          <w:sz w:val="24"/>
          <w:szCs w:val="24"/>
        </w:rPr>
        <w:t xml:space="preserve">Data and materials availability </w:t>
      </w:r>
    </w:p>
    <w:p w14:paraId="137ECCE3" w14:textId="0FDEDDA3" w:rsidR="003D4EB1" w:rsidRPr="00D11827" w:rsidRDefault="00000000" w:rsidP="00D11827">
      <w:pPr>
        <w:shd w:val="clear" w:color="auto" w:fill="FFFFFF"/>
        <w:spacing w:after="60" w:line="480" w:lineRule="auto"/>
        <w:rPr>
          <w:rFonts w:ascii="Times New Roman" w:hAnsi="Times New Roman" w:cs="Times New Roman"/>
          <w:b/>
          <w:bCs/>
          <w:color w:val="000000" w:themeColor="text1"/>
        </w:rPr>
      </w:pPr>
      <w:r w:rsidRPr="00D11827">
        <w:rPr>
          <w:rFonts w:ascii="Times New Roman" w:hAnsi="Times New Roman" w:cs="Times New Roman"/>
          <w:color w:val="000000" w:themeColor="text1"/>
        </w:rPr>
        <w:t xml:space="preserve">The code and data required to reproduce all of the analyses and figures in the manuscript are openly available at: </w:t>
      </w:r>
      <w:hyperlink r:id="rId14">
        <w:r w:rsidR="003D4EB1" w:rsidRPr="00D11827">
          <w:rPr>
            <w:rFonts w:ascii="Times New Roman" w:hAnsi="Times New Roman" w:cs="Times New Roman"/>
            <w:color w:val="000000" w:themeColor="text1"/>
            <w:u w:val="single"/>
          </w:rPr>
          <w:t>https://github.com/QuantitativeEcologyLab/island_jaguars</w:t>
        </w:r>
      </w:hyperlink>
      <w:r w:rsidRPr="00D11827">
        <w:rPr>
          <w:rFonts w:ascii="Times New Roman" w:hAnsi="Times New Roman" w:cs="Times New Roman"/>
          <w:color w:val="000000" w:themeColor="text1"/>
        </w:rPr>
        <w:t xml:space="preserve">. The </w:t>
      </w:r>
      <w:r w:rsidR="00BA486A" w:rsidRPr="00D11827">
        <w:rPr>
          <w:rFonts w:ascii="Times New Roman" w:hAnsi="Times New Roman" w:cs="Times New Roman"/>
          <w:color w:val="000000" w:themeColor="text1"/>
        </w:rPr>
        <w:t>MapBiomas – Collection 10 of the 2023 series of Maps of Land Cover and Land Use of Brazil, are openly available, and were accessed on June 1 2025 via the link: https://storage.googleapis.com/mapbiomas-public/initiatives/brasil/collection_10/lulc/coverage/brazil_coverage_2024.tif</w:t>
      </w:r>
    </w:p>
    <w:p w14:paraId="0286E22E" w14:textId="77777777" w:rsidR="003D4EB1" w:rsidRPr="00D11827" w:rsidRDefault="003D4EB1" w:rsidP="00D11827">
      <w:pPr>
        <w:keepNext/>
        <w:spacing w:before="240" w:after="0" w:line="480" w:lineRule="auto"/>
        <w:rPr>
          <w:rFonts w:ascii="Times New Roman" w:hAnsi="Times New Roman" w:cs="Times New Roman"/>
          <w:color w:val="000000" w:themeColor="text1"/>
        </w:rPr>
      </w:pPr>
    </w:p>
    <w:p w14:paraId="0B9FBDA7" w14:textId="607777EE" w:rsidR="003D4EB1" w:rsidRPr="00D11827" w:rsidRDefault="00EB0E99" w:rsidP="00EB0E99">
      <w:pPr>
        <w:pStyle w:val="Heading1"/>
        <w:numPr>
          <w:ilvl w:val="0"/>
          <w:numId w:val="1"/>
        </w:numPr>
        <w:spacing w:before="240" w:after="0"/>
        <w:rPr>
          <w:rFonts w:ascii="Times New Roman" w:hAnsi="Times New Roman" w:cs="Times New Roman"/>
          <w:color w:val="000000" w:themeColor="text1"/>
          <w:sz w:val="24"/>
          <w:szCs w:val="24"/>
        </w:rPr>
      </w:pPr>
      <w:bookmarkStart w:id="29" w:name="_yhu2lutaxebw" w:colFirst="0" w:colLast="0"/>
      <w:bookmarkEnd w:id="29"/>
      <w:r w:rsidRPr="00D11827">
        <w:rPr>
          <w:rFonts w:ascii="Times New Roman" w:hAnsi="Times New Roman" w:cs="Times New Roman"/>
          <w:color w:val="000000" w:themeColor="text1"/>
          <w:sz w:val="24"/>
          <w:szCs w:val="24"/>
        </w:rPr>
        <w:t>REFERENCES</w:t>
      </w:r>
    </w:p>
    <w:p w14:paraId="31E6CCCC" w14:textId="77777777" w:rsidR="00E21B60" w:rsidRPr="00E21B60" w:rsidRDefault="00000000" w:rsidP="00E21B60">
      <w:pPr>
        <w:pStyle w:val="Bibliography"/>
        <w:rPr>
          <w:lang w:val="en-US"/>
        </w:rPr>
      </w:pPr>
      <w:r w:rsidRPr="00D11827">
        <w:rPr>
          <w:color w:val="000000" w:themeColor="text1"/>
        </w:rPr>
        <w:fldChar w:fldCharType="begin"/>
      </w:r>
      <w:r w:rsidR="00E21B60">
        <w:rPr>
          <w:color w:val="000000" w:themeColor="text1"/>
        </w:rPr>
        <w:instrText xml:space="preserve"> ADDIN ZOTERO_BIBL {"uncited":[],"omitted":[],"custom":[]} CSL_BIBLIOGRAPHY </w:instrText>
      </w:r>
      <w:r w:rsidRPr="00D11827">
        <w:rPr>
          <w:color w:val="000000" w:themeColor="text1"/>
        </w:rPr>
        <w:fldChar w:fldCharType="separate"/>
      </w:r>
      <w:r w:rsidR="00E21B60" w:rsidRPr="00E21B60">
        <w:rPr>
          <w:smallCaps/>
          <w:lang w:val="en-US"/>
        </w:rPr>
        <w:t>Allen, A. M.</w:t>
      </w:r>
      <w:r w:rsidR="00E21B60" w:rsidRPr="00E21B60">
        <w:rPr>
          <w:lang w:val="en-US"/>
        </w:rPr>
        <w:t xml:space="preserve">, and </w:t>
      </w:r>
      <w:r w:rsidR="00E21B60" w:rsidRPr="00E21B60">
        <w:rPr>
          <w:smallCaps/>
          <w:lang w:val="en-US"/>
        </w:rPr>
        <w:t>N. J. Singh</w:t>
      </w:r>
      <w:r w:rsidR="00E21B60" w:rsidRPr="00E21B60">
        <w:rPr>
          <w:lang w:val="en-US"/>
        </w:rPr>
        <w:t>. 2016. Linking Movement Ecology with Wildlife Management and Conservation. Front. Ecol. Evol. 3. Available at: http://journal.frontiersin.org/Article/10.3389/fevo.2015.00155/abstract [Accessed July 7, 2025].</w:t>
      </w:r>
    </w:p>
    <w:p w14:paraId="7E4B83AD" w14:textId="77777777" w:rsidR="00E21B60" w:rsidRPr="00E21B60" w:rsidRDefault="00E21B60" w:rsidP="00E21B60">
      <w:pPr>
        <w:pStyle w:val="Bibliography"/>
        <w:rPr>
          <w:lang w:val="en-US"/>
        </w:rPr>
      </w:pPr>
      <w:r w:rsidRPr="00E21B60">
        <w:rPr>
          <w:smallCaps/>
          <w:lang w:val="en-US"/>
        </w:rPr>
        <w:t>Allen, M.</w:t>
      </w:r>
      <w:r w:rsidRPr="00E21B60">
        <w:rPr>
          <w:lang w:val="en-US"/>
        </w:rPr>
        <w:t xml:space="preserve">, </w:t>
      </w:r>
      <w:r w:rsidRPr="00E21B60">
        <w:rPr>
          <w:smallCaps/>
          <w:lang w:val="en-US"/>
        </w:rPr>
        <w:t>L. M. Elbroch</w:t>
      </w:r>
      <w:r w:rsidRPr="00E21B60">
        <w:rPr>
          <w:lang w:val="en-US"/>
        </w:rPr>
        <w:t xml:space="preserve">, </w:t>
      </w:r>
      <w:r w:rsidRPr="00E21B60">
        <w:rPr>
          <w:smallCaps/>
          <w:lang w:val="en-US"/>
        </w:rPr>
        <w:t>D. Casady</w:t>
      </w:r>
      <w:r w:rsidRPr="00E21B60">
        <w:rPr>
          <w:lang w:val="en-US"/>
        </w:rPr>
        <w:t xml:space="preserve">, and </w:t>
      </w:r>
      <w:r w:rsidRPr="00E21B60">
        <w:rPr>
          <w:smallCaps/>
          <w:lang w:val="en-US"/>
        </w:rPr>
        <w:t>H. Wittmer</w:t>
      </w:r>
      <w:r w:rsidRPr="00E21B60">
        <w:rPr>
          <w:lang w:val="en-US"/>
        </w:rPr>
        <w:t>. 2015. Feeding and spatial ecology of mountain lions in the Mendocino National Forest, California. Calif. Fish Game 2015: 51–65.</w:t>
      </w:r>
    </w:p>
    <w:p w14:paraId="32076E52" w14:textId="77777777" w:rsidR="00E21B60" w:rsidRPr="00E21B60" w:rsidRDefault="00E21B60" w:rsidP="00E21B60">
      <w:pPr>
        <w:pStyle w:val="Bibliography"/>
        <w:rPr>
          <w:lang w:val="en-US"/>
        </w:rPr>
      </w:pPr>
      <w:r w:rsidRPr="00E21B60">
        <w:rPr>
          <w:smallCaps/>
          <w:lang w:val="en-US"/>
        </w:rPr>
        <w:t>Allison, M. A.</w:t>
      </w:r>
      <w:r w:rsidRPr="00E21B60">
        <w:rPr>
          <w:lang w:val="en-US"/>
        </w:rPr>
        <w:t xml:space="preserve">, </w:t>
      </w:r>
      <w:r w:rsidRPr="00E21B60">
        <w:rPr>
          <w:smallCaps/>
          <w:lang w:val="en-US"/>
        </w:rPr>
        <w:t>C. A. Nittrouer</w:t>
      </w:r>
      <w:r w:rsidRPr="00E21B60">
        <w:rPr>
          <w:lang w:val="en-US"/>
        </w:rPr>
        <w:t xml:space="preserve">, and </w:t>
      </w:r>
      <w:r w:rsidRPr="00E21B60">
        <w:rPr>
          <w:smallCaps/>
          <w:lang w:val="en-US"/>
        </w:rPr>
        <w:t>L. E. C. Faria</w:t>
      </w:r>
      <w:r w:rsidRPr="00E21B60">
        <w:rPr>
          <w:lang w:val="en-US"/>
        </w:rPr>
        <w:t>. 1995. Rates and mechanisms of shoreface progradation and retreat downdrift of the Amazon river mouth. Mar. Geol. 125: 373–392.</w:t>
      </w:r>
    </w:p>
    <w:p w14:paraId="62201DF9" w14:textId="77777777" w:rsidR="00E21B60" w:rsidRPr="00E21B60" w:rsidRDefault="00E21B60" w:rsidP="00E21B60">
      <w:pPr>
        <w:pStyle w:val="Bibliography"/>
        <w:rPr>
          <w:lang w:val="en-US"/>
        </w:rPr>
      </w:pPr>
      <w:r w:rsidRPr="00E21B60">
        <w:rPr>
          <w:smallCaps/>
          <w:lang w:val="en-US"/>
        </w:rPr>
        <w:t>Alston, J. M.</w:t>
      </w:r>
      <w:r w:rsidRPr="00E21B60">
        <w:rPr>
          <w:lang w:val="en-US"/>
        </w:rPr>
        <w:t xml:space="preserve">, </w:t>
      </w:r>
      <w:r w:rsidRPr="00E21B60">
        <w:rPr>
          <w:smallCaps/>
          <w:lang w:val="en-US"/>
        </w:rPr>
        <w:t>C. H. Fleming</w:t>
      </w:r>
      <w:r w:rsidRPr="00E21B60">
        <w:rPr>
          <w:lang w:val="en-US"/>
        </w:rPr>
        <w:t xml:space="preserve">, </w:t>
      </w:r>
      <w:r w:rsidRPr="00E21B60">
        <w:rPr>
          <w:smallCaps/>
          <w:lang w:val="en-US"/>
        </w:rPr>
        <w:t>R. Kays</w:t>
      </w:r>
      <w:r w:rsidRPr="00E21B60">
        <w:rPr>
          <w:lang w:val="en-US"/>
        </w:rPr>
        <w:t xml:space="preserve">, </w:t>
      </w:r>
      <w:r w:rsidRPr="00E21B60">
        <w:rPr>
          <w:smallCaps/>
          <w:lang w:val="en-US"/>
        </w:rPr>
        <w:t>J. P. Streicher</w:t>
      </w:r>
      <w:r w:rsidRPr="00E21B60">
        <w:rPr>
          <w:lang w:val="en-US"/>
        </w:rPr>
        <w:t xml:space="preserve">, </w:t>
      </w:r>
      <w:r w:rsidRPr="00E21B60">
        <w:rPr>
          <w:smallCaps/>
          <w:lang w:val="en-US"/>
        </w:rPr>
        <w:t>C. T. Downs</w:t>
      </w:r>
      <w:r w:rsidRPr="00E21B60">
        <w:rPr>
          <w:lang w:val="en-US"/>
        </w:rPr>
        <w:t xml:space="preserve">, </w:t>
      </w:r>
      <w:r w:rsidRPr="00E21B60">
        <w:rPr>
          <w:smallCaps/>
          <w:lang w:val="en-US"/>
        </w:rPr>
        <w:t>T. Ramesh</w:t>
      </w:r>
      <w:r w:rsidRPr="00E21B60">
        <w:rPr>
          <w:lang w:val="en-US"/>
        </w:rPr>
        <w:t xml:space="preserve">, </w:t>
      </w:r>
      <w:r w:rsidRPr="00E21B60">
        <w:rPr>
          <w:smallCaps/>
          <w:lang w:val="en-US"/>
        </w:rPr>
        <w:t>B. Reineking</w:t>
      </w:r>
      <w:r w:rsidRPr="00E21B60">
        <w:rPr>
          <w:lang w:val="en-US"/>
        </w:rPr>
        <w:t xml:space="preserve">, and </w:t>
      </w:r>
      <w:r w:rsidRPr="00E21B60">
        <w:rPr>
          <w:smallCaps/>
          <w:lang w:val="en-US"/>
        </w:rPr>
        <w:t>J. M. Calabrese</w:t>
      </w:r>
      <w:r w:rsidRPr="00E21B60">
        <w:rPr>
          <w:lang w:val="en-US"/>
        </w:rPr>
        <w:t>. 2023. Mitigating pseudoreplication and bias in resource selection functions with autocorrelation‐informed weighting. Methods Ecol. Evol. 14: 643–654.</w:t>
      </w:r>
    </w:p>
    <w:p w14:paraId="052ABFAA" w14:textId="77777777" w:rsidR="00E21B60" w:rsidRPr="00E21B60" w:rsidRDefault="00E21B60" w:rsidP="00E21B60">
      <w:pPr>
        <w:pStyle w:val="Bibliography"/>
        <w:rPr>
          <w:lang w:val="en-US"/>
        </w:rPr>
      </w:pPr>
      <w:r w:rsidRPr="00E21B60">
        <w:rPr>
          <w:smallCaps/>
          <w:lang w:val="en-US"/>
        </w:rPr>
        <w:t>Alvarenga, G. C. et al.</w:t>
      </w:r>
      <w:r w:rsidRPr="00E21B60">
        <w:rPr>
          <w:lang w:val="en-US"/>
        </w:rPr>
        <w:t xml:space="preserve"> 2025. Jaguar (Panthera onca) density and population size across protected areas and indigenous lands in the Amazon biome, its largest stronghold. Biol. Conserv. 303: 111010.</w:t>
      </w:r>
    </w:p>
    <w:p w14:paraId="540786F1" w14:textId="77777777" w:rsidR="00E21B60" w:rsidRPr="00E21B60" w:rsidRDefault="00E21B60" w:rsidP="00E21B60">
      <w:pPr>
        <w:pStyle w:val="Bibliography"/>
        <w:rPr>
          <w:lang w:val="en-US"/>
        </w:rPr>
      </w:pPr>
      <w:r w:rsidRPr="00E21B60">
        <w:rPr>
          <w:smallCaps/>
          <w:lang w:val="en-US"/>
        </w:rPr>
        <w:lastRenderedPageBreak/>
        <w:t>Anile, S.</w:t>
      </w:r>
      <w:r w:rsidRPr="00E21B60">
        <w:rPr>
          <w:lang w:val="en-US"/>
        </w:rPr>
        <w:t xml:space="preserve">, </w:t>
      </w:r>
      <w:r w:rsidRPr="00E21B60">
        <w:rPr>
          <w:smallCaps/>
          <w:lang w:val="en-US"/>
        </w:rPr>
        <w:t>E. Greenspan</w:t>
      </w:r>
      <w:r w:rsidRPr="00E21B60">
        <w:rPr>
          <w:lang w:val="en-US"/>
        </w:rPr>
        <w:t xml:space="preserve">, and </w:t>
      </w:r>
      <w:r w:rsidRPr="00E21B60">
        <w:rPr>
          <w:smallCaps/>
          <w:lang w:val="en-US"/>
        </w:rPr>
        <w:t>C. K. Nielsen</w:t>
      </w:r>
      <w:r w:rsidRPr="00E21B60">
        <w:rPr>
          <w:lang w:val="en-US"/>
        </w:rPr>
        <w:t>. 2020. Determinants of jaguar occupancy at the northern range edge. Mammal Res. 65: 667–677.</w:t>
      </w:r>
    </w:p>
    <w:p w14:paraId="3FD0AF81" w14:textId="77777777" w:rsidR="00E21B60" w:rsidRPr="00E21B60" w:rsidRDefault="00E21B60" w:rsidP="00E21B60">
      <w:pPr>
        <w:pStyle w:val="Bibliography"/>
        <w:rPr>
          <w:lang w:val="en-US"/>
        </w:rPr>
      </w:pPr>
      <w:r w:rsidRPr="00E21B60">
        <w:rPr>
          <w:smallCaps/>
          <w:lang w:val="en-US"/>
        </w:rPr>
        <w:t>Arroyo-Arce, S.</w:t>
      </w:r>
      <w:r w:rsidRPr="00E21B60">
        <w:rPr>
          <w:lang w:val="en-US"/>
        </w:rPr>
        <w:t xml:space="preserve">, </w:t>
      </w:r>
      <w:r w:rsidRPr="00E21B60">
        <w:rPr>
          <w:smallCaps/>
          <w:lang w:val="en-US"/>
        </w:rPr>
        <w:t>J. Guilder</w:t>
      </w:r>
      <w:r w:rsidRPr="00E21B60">
        <w:rPr>
          <w:lang w:val="en-US"/>
        </w:rPr>
        <w:t xml:space="preserve">, and </w:t>
      </w:r>
      <w:r w:rsidRPr="00E21B60">
        <w:rPr>
          <w:smallCaps/>
          <w:lang w:val="en-US"/>
        </w:rPr>
        <w:t>R. Salom-Pérez</w:t>
      </w:r>
      <w:r w:rsidRPr="00E21B60">
        <w:rPr>
          <w:lang w:val="en-US"/>
        </w:rPr>
        <w:t>. 2014. Habitat features influencing jaguar Panthera onca (Carnivora: Felidae) occupancy in Tortuguero National Park, Costa Rica. Rev. Biol. Trop. 62: 1449–1458.</w:t>
      </w:r>
    </w:p>
    <w:p w14:paraId="43E9CD8B" w14:textId="77777777" w:rsidR="00E21B60" w:rsidRPr="00E21B60" w:rsidRDefault="00E21B60" w:rsidP="00E21B60">
      <w:pPr>
        <w:pStyle w:val="Bibliography"/>
        <w:rPr>
          <w:lang w:val="en-US"/>
        </w:rPr>
      </w:pPr>
      <w:r w:rsidRPr="00E21B60">
        <w:rPr>
          <w:smallCaps/>
          <w:lang w:val="en-US"/>
        </w:rPr>
        <w:t>Astete, S.</w:t>
      </w:r>
      <w:r w:rsidRPr="00E21B60">
        <w:rPr>
          <w:lang w:val="en-US"/>
        </w:rPr>
        <w:t xml:space="preserve">, </w:t>
      </w:r>
      <w:r w:rsidRPr="00E21B60">
        <w:rPr>
          <w:smallCaps/>
          <w:lang w:val="en-US"/>
        </w:rPr>
        <w:t>J. Marinho-Filho</w:t>
      </w:r>
      <w:r w:rsidRPr="00E21B60">
        <w:rPr>
          <w:lang w:val="en-US"/>
        </w:rPr>
        <w:t xml:space="preserve">, </w:t>
      </w:r>
      <w:r w:rsidRPr="00E21B60">
        <w:rPr>
          <w:smallCaps/>
          <w:lang w:val="en-US"/>
        </w:rPr>
        <w:t>R. B. Machado</w:t>
      </w:r>
      <w:r w:rsidRPr="00E21B60">
        <w:rPr>
          <w:lang w:val="en-US"/>
        </w:rPr>
        <w:t xml:space="preserve">, </w:t>
      </w:r>
      <w:r w:rsidRPr="00E21B60">
        <w:rPr>
          <w:smallCaps/>
          <w:lang w:val="en-US"/>
        </w:rPr>
        <w:t>B. Zimbres</w:t>
      </w:r>
      <w:r w:rsidRPr="00E21B60">
        <w:rPr>
          <w:lang w:val="en-US"/>
        </w:rPr>
        <w:t xml:space="preserve">, </w:t>
      </w:r>
      <w:r w:rsidRPr="00E21B60">
        <w:rPr>
          <w:smallCaps/>
          <w:lang w:val="en-US"/>
        </w:rPr>
        <w:t>A. T. A. Jácomo</w:t>
      </w:r>
      <w:r w:rsidRPr="00E21B60">
        <w:rPr>
          <w:lang w:val="en-US"/>
        </w:rPr>
        <w:t xml:space="preserve">, </w:t>
      </w:r>
      <w:r w:rsidRPr="00E21B60">
        <w:rPr>
          <w:smallCaps/>
          <w:lang w:val="en-US"/>
        </w:rPr>
        <w:t>R. Sollmann</w:t>
      </w:r>
      <w:r w:rsidRPr="00E21B60">
        <w:rPr>
          <w:lang w:val="en-US"/>
        </w:rPr>
        <w:t xml:space="preserve">, </w:t>
      </w:r>
      <w:r w:rsidRPr="00E21B60">
        <w:rPr>
          <w:smallCaps/>
          <w:lang w:val="en-US"/>
        </w:rPr>
        <w:t>N. M. Tôrres</w:t>
      </w:r>
      <w:r w:rsidRPr="00E21B60">
        <w:rPr>
          <w:lang w:val="en-US"/>
        </w:rPr>
        <w:t xml:space="preserve">, and </w:t>
      </w:r>
      <w:r w:rsidRPr="00E21B60">
        <w:rPr>
          <w:smallCaps/>
          <w:lang w:val="en-US"/>
        </w:rPr>
        <w:t>L. Silveira</w:t>
      </w:r>
      <w:r w:rsidRPr="00E21B60">
        <w:rPr>
          <w:lang w:val="en-US"/>
        </w:rPr>
        <w:t>. 2016. Living in extreme environments: modeling habitat suitability for jaguars, pumas, and their prey in a semiarid habitat. J. Mammal. gyw184.</w:t>
      </w:r>
    </w:p>
    <w:p w14:paraId="7B7F13A0" w14:textId="77777777" w:rsidR="00E21B60" w:rsidRPr="00E21B60" w:rsidRDefault="00E21B60" w:rsidP="00E21B60">
      <w:pPr>
        <w:pStyle w:val="Bibliography"/>
        <w:rPr>
          <w:lang w:val="en-US"/>
        </w:rPr>
      </w:pPr>
      <w:r w:rsidRPr="00E21B60">
        <w:rPr>
          <w:smallCaps/>
          <w:lang w:val="en-US"/>
        </w:rPr>
        <w:t>Baddeley, A.</w:t>
      </w:r>
      <w:r w:rsidRPr="00E21B60">
        <w:rPr>
          <w:lang w:val="en-US"/>
        </w:rPr>
        <w:t xml:space="preserve">, </w:t>
      </w:r>
      <w:r w:rsidRPr="00E21B60">
        <w:rPr>
          <w:smallCaps/>
          <w:lang w:val="en-US"/>
        </w:rPr>
        <w:t>E. Rubak</w:t>
      </w:r>
      <w:r w:rsidRPr="00E21B60">
        <w:rPr>
          <w:lang w:val="en-US"/>
        </w:rPr>
        <w:t xml:space="preserve">, and </w:t>
      </w:r>
      <w:r w:rsidRPr="00E21B60">
        <w:rPr>
          <w:smallCaps/>
          <w:lang w:val="en-US"/>
        </w:rPr>
        <w:t>R. Turner</w:t>
      </w:r>
      <w:r w:rsidRPr="00E21B60">
        <w:rPr>
          <w:lang w:val="en-US"/>
        </w:rPr>
        <w:t>. 2016. Spatial point patterns: methodology and applications with R. CRC Press, Taylor &amp; Francis Group, Boca Raton ; London ; New York.</w:t>
      </w:r>
    </w:p>
    <w:p w14:paraId="5520E1ED" w14:textId="77777777" w:rsidR="00E21B60" w:rsidRPr="00E21B60" w:rsidRDefault="00E21B60" w:rsidP="00E21B60">
      <w:pPr>
        <w:pStyle w:val="Bibliography"/>
        <w:rPr>
          <w:lang w:val="en-US"/>
        </w:rPr>
      </w:pPr>
      <w:r w:rsidRPr="00E21B60">
        <w:rPr>
          <w:smallCaps/>
          <w:lang w:val="en-US"/>
        </w:rPr>
        <w:t>Bejarano Alegre, V.</w:t>
      </w:r>
      <w:r w:rsidRPr="00E21B60">
        <w:rPr>
          <w:lang w:val="en-US"/>
        </w:rPr>
        <w:t xml:space="preserve">, </w:t>
      </w:r>
      <w:r w:rsidRPr="00E21B60">
        <w:rPr>
          <w:smallCaps/>
          <w:lang w:val="en-US"/>
        </w:rPr>
        <w:t>C. Zukeran Kanda</w:t>
      </w:r>
      <w:r w:rsidRPr="00E21B60">
        <w:rPr>
          <w:lang w:val="en-US"/>
        </w:rPr>
        <w:t xml:space="preserve">, </w:t>
      </w:r>
      <w:r w:rsidRPr="00E21B60">
        <w:rPr>
          <w:smallCaps/>
          <w:lang w:val="en-US"/>
        </w:rPr>
        <w:t>J. E. D. F. Oshima</w:t>
      </w:r>
      <w:r w:rsidRPr="00E21B60">
        <w:rPr>
          <w:lang w:val="en-US"/>
        </w:rPr>
        <w:t xml:space="preserve">, </w:t>
      </w:r>
      <w:r w:rsidRPr="00E21B60">
        <w:rPr>
          <w:smallCaps/>
          <w:lang w:val="en-US"/>
        </w:rPr>
        <w:t>B. Brandão Niebuhr</w:t>
      </w:r>
      <w:r w:rsidRPr="00E21B60">
        <w:rPr>
          <w:lang w:val="en-US"/>
        </w:rPr>
        <w:t xml:space="preserve">, </w:t>
      </w:r>
      <w:r w:rsidRPr="00E21B60">
        <w:rPr>
          <w:smallCaps/>
          <w:lang w:val="en-US"/>
        </w:rPr>
        <w:t>R. G. Morato</w:t>
      </w:r>
      <w:r w:rsidRPr="00E21B60">
        <w:rPr>
          <w:lang w:val="en-US"/>
        </w:rPr>
        <w:t xml:space="preserve">, </w:t>
      </w:r>
      <w:r w:rsidRPr="00E21B60">
        <w:rPr>
          <w:smallCaps/>
          <w:lang w:val="en-US"/>
        </w:rPr>
        <w:t>J. J. Thompson</w:t>
      </w:r>
      <w:r w:rsidRPr="00E21B60">
        <w:rPr>
          <w:lang w:val="en-US"/>
        </w:rPr>
        <w:t xml:space="preserve">, </w:t>
      </w:r>
      <w:r w:rsidRPr="00E21B60">
        <w:rPr>
          <w:smallCaps/>
          <w:lang w:val="en-US"/>
        </w:rPr>
        <w:t>L. Börger</w:t>
      </w:r>
      <w:r w:rsidRPr="00E21B60">
        <w:rPr>
          <w:lang w:val="en-US"/>
        </w:rPr>
        <w:t xml:space="preserve">, and </w:t>
      </w:r>
      <w:r w:rsidRPr="00E21B60">
        <w:rPr>
          <w:smallCaps/>
          <w:lang w:val="en-US"/>
        </w:rPr>
        <w:t>M. C. Ribeiro</w:t>
      </w:r>
      <w:r w:rsidRPr="00E21B60">
        <w:rPr>
          <w:lang w:val="en-US"/>
        </w:rPr>
        <w:t>. 2024. Jaguar at the Edge: movement patterns in human-altered landscapes. Perspect. Ecol. Conserv. 22: 358–366.</w:t>
      </w:r>
    </w:p>
    <w:p w14:paraId="6988243A" w14:textId="77777777" w:rsidR="00E21B60" w:rsidRPr="00E21B60" w:rsidRDefault="00E21B60" w:rsidP="00E21B60">
      <w:pPr>
        <w:pStyle w:val="Bibliography"/>
        <w:rPr>
          <w:lang w:val="en-US"/>
        </w:rPr>
      </w:pPr>
      <w:r w:rsidRPr="00E21B60">
        <w:rPr>
          <w:smallCaps/>
          <w:lang w:val="en-US"/>
        </w:rPr>
        <w:t>Calabrese, J. M.</w:t>
      </w:r>
      <w:r w:rsidRPr="00E21B60">
        <w:rPr>
          <w:lang w:val="en-US"/>
        </w:rPr>
        <w:t xml:space="preserve">, </w:t>
      </w:r>
      <w:r w:rsidRPr="00E21B60">
        <w:rPr>
          <w:smallCaps/>
          <w:lang w:val="en-US"/>
        </w:rPr>
        <w:t>C. H. Fleming</w:t>
      </w:r>
      <w:r w:rsidRPr="00E21B60">
        <w:rPr>
          <w:lang w:val="en-US"/>
        </w:rPr>
        <w:t xml:space="preserve">, </w:t>
      </w:r>
      <w:r w:rsidRPr="00E21B60">
        <w:rPr>
          <w:smallCaps/>
          <w:lang w:val="en-US"/>
        </w:rPr>
        <w:t>M. J. Noonan</w:t>
      </w:r>
      <w:r w:rsidRPr="00E21B60">
        <w:rPr>
          <w:lang w:val="en-US"/>
        </w:rPr>
        <w:t xml:space="preserve">, and </w:t>
      </w:r>
      <w:r w:rsidRPr="00E21B60">
        <w:rPr>
          <w:smallCaps/>
          <w:lang w:val="en-US"/>
        </w:rPr>
        <w:t>X. Dong</w:t>
      </w:r>
      <w:r w:rsidRPr="00E21B60">
        <w:rPr>
          <w:lang w:val="en-US"/>
        </w:rPr>
        <w:t>. 2021. ctmmweb: A Graphical User Interface for Autocorrelation‐Informed Home Range Estimation. Wildl. Soc. Bull. 45: 162–169.</w:t>
      </w:r>
    </w:p>
    <w:p w14:paraId="26E2AAD3" w14:textId="77777777" w:rsidR="00E21B60" w:rsidRPr="00E21B60" w:rsidRDefault="00E21B60" w:rsidP="00E21B60">
      <w:pPr>
        <w:pStyle w:val="Bibliography"/>
        <w:rPr>
          <w:lang w:val="en-US"/>
        </w:rPr>
      </w:pPr>
      <w:r w:rsidRPr="00E21B60">
        <w:rPr>
          <w:smallCaps/>
          <w:lang w:val="en-US"/>
        </w:rPr>
        <w:t>Carrillo, E.</w:t>
      </w:r>
      <w:r w:rsidRPr="00E21B60">
        <w:rPr>
          <w:lang w:val="en-US"/>
        </w:rPr>
        <w:t xml:space="preserve">, </w:t>
      </w:r>
      <w:r w:rsidRPr="00E21B60">
        <w:rPr>
          <w:smallCaps/>
          <w:lang w:val="en-US"/>
        </w:rPr>
        <w:t>T. K. Fuller</w:t>
      </w:r>
      <w:r w:rsidRPr="00E21B60">
        <w:rPr>
          <w:lang w:val="en-US"/>
        </w:rPr>
        <w:t xml:space="preserve">, and </w:t>
      </w:r>
      <w:r w:rsidRPr="00E21B60">
        <w:rPr>
          <w:smallCaps/>
          <w:lang w:val="en-US"/>
        </w:rPr>
        <w:t>J. C. Saenz</w:t>
      </w:r>
      <w:r w:rsidRPr="00E21B60">
        <w:rPr>
          <w:lang w:val="en-US"/>
        </w:rPr>
        <w:t xml:space="preserve">. 2009. Jaguar ( </w:t>
      </w:r>
      <w:r w:rsidRPr="00E21B60">
        <w:rPr>
          <w:i/>
          <w:iCs/>
          <w:lang w:val="en-US"/>
        </w:rPr>
        <w:t>Panthera onca</w:t>
      </w:r>
      <w:r w:rsidRPr="00E21B60">
        <w:rPr>
          <w:lang w:val="en-US"/>
        </w:rPr>
        <w:t xml:space="preserve"> ) hunting activity: effects of prey distribution and availability. J. Trop. Ecol. 25: 563–567.</w:t>
      </w:r>
    </w:p>
    <w:p w14:paraId="60C02DC0" w14:textId="77777777" w:rsidR="00E21B60" w:rsidRPr="00E21B60" w:rsidRDefault="00E21B60" w:rsidP="00E21B60">
      <w:pPr>
        <w:pStyle w:val="Bibliography"/>
        <w:rPr>
          <w:lang w:val="en-US"/>
        </w:rPr>
      </w:pPr>
      <w:r w:rsidRPr="00E21B60">
        <w:rPr>
          <w:smallCaps/>
          <w:lang w:val="en-US"/>
        </w:rPr>
        <w:t>Cavalcanti, S. M. C.</w:t>
      </w:r>
      <w:r w:rsidRPr="00E21B60">
        <w:rPr>
          <w:lang w:val="en-US"/>
        </w:rPr>
        <w:t xml:space="preserve">, and </w:t>
      </w:r>
      <w:r w:rsidRPr="00E21B60">
        <w:rPr>
          <w:smallCaps/>
          <w:lang w:val="en-US"/>
        </w:rPr>
        <w:t>E. M. Gese</w:t>
      </w:r>
      <w:r w:rsidRPr="00E21B60">
        <w:rPr>
          <w:lang w:val="en-US"/>
        </w:rPr>
        <w:t>. 2009. Spatial Ecology and Social Interactions of Jaguars (Panthera onca) in the Southern Pantanal, Brazil. J. Mammal. 90: 935–945.</w:t>
      </w:r>
    </w:p>
    <w:p w14:paraId="47A81B6E" w14:textId="77777777" w:rsidR="00E21B60" w:rsidRPr="00E21B60" w:rsidRDefault="00E21B60" w:rsidP="00E21B60">
      <w:pPr>
        <w:pStyle w:val="Bibliography"/>
        <w:rPr>
          <w:lang w:val="en-US"/>
        </w:rPr>
      </w:pPr>
      <w:r w:rsidRPr="00E21B60">
        <w:rPr>
          <w:smallCaps/>
          <w:lang w:val="en-US"/>
        </w:rPr>
        <w:t>Chhen, A.</w:t>
      </w:r>
      <w:r w:rsidRPr="00E21B60">
        <w:rPr>
          <w:lang w:val="en-US"/>
        </w:rPr>
        <w:t xml:space="preserve">, </w:t>
      </w:r>
      <w:r w:rsidRPr="00E21B60">
        <w:rPr>
          <w:smallCaps/>
          <w:lang w:val="en-US"/>
        </w:rPr>
        <w:t>A. Bertassoni</w:t>
      </w:r>
      <w:r w:rsidRPr="00E21B60">
        <w:rPr>
          <w:lang w:val="en-US"/>
        </w:rPr>
        <w:t xml:space="preserve">, </w:t>
      </w:r>
      <w:r w:rsidRPr="00E21B60">
        <w:rPr>
          <w:smallCaps/>
          <w:lang w:val="en-US"/>
        </w:rPr>
        <w:t>A. L. J. Desbiez</w:t>
      </w:r>
      <w:r w:rsidRPr="00E21B60">
        <w:rPr>
          <w:lang w:val="en-US"/>
        </w:rPr>
        <w:t xml:space="preserve">, and </w:t>
      </w:r>
      <w:r w:rsidRPr="00E21B60">
        <w:rPr>
          <w:smallCaps/>
          <w:lang w:val="en-US"/>
        </w:rPr>
        <w:t>M. J. Noonan</w:t>
      </w:r>
      <w:r w:rsidRPr="00E21B60">
        <w:rPr>
          <w:lang w:val="en-US"/>
        </w:rPr>
        <w:t>. 2024. The socio‐spatial ecology of giant anteaters in the Brazilian Cerrado. J. Zool. 324: 50–62.</w:t>
      </w:r>
    </w:p>
    <w:p w14:paraId="17312E65" w14:textId="77777777" w:rsidR="00E21B60" w:rsidRPr="00E21B60" w:rsidRDefault="00E21B60" w:rsidP="00E21B60">
      <w:pPr>
        <w:pStyle w:val="Bibliography"/>
        <w:rPr>
          <w:lang w:val="en-US"/>
        </w:rPr>
      </w:pPr>
      <w:r w:rsidRPr="00E21B60">
        <w:rPr>
          <w:smallCaps/>
          <w:lang w:val="en-US"/>
        </w:rPr>
        <w:t>Crooks, K. R.</w:t>
      </w:r>
      <w:r w:rsidRPr="00E21B60">
        <w:rPr>
          <w:lang w:val="en-US"/>
        </w:rPr>
        <w:t xml:space="preserve"> 2002. Relative Sensitivities of Mammalian Carnivores to Habitat Fragmentation. Conserv. Biol. 16: 488–502.</w:t>
      </w:r>
    </w:p>
    <w:p w14:paraId="54CD8D97" w14:textId="77777777" w:rsidR="00E21B60" w:rsidRPr="00E21B60" w:rsidRDefault="00E21B60" w:rsidP="00E21B60">
      <w:pPr>
        <w:pStyle w:val="Bibliography"/>
        <w:rPr>
          <w:lang w:val="en-US"/>
        </w:rPr>
      </w:pPr>
      <w:r w:rsidRPr="00E21B60">
        <w:rPr>
          <w:smallCaps/>
          <w:lang w:val="en-US"/>
        </w:rPr>
        <w:t>Crooks, K. R.</w:t>
      </w:r>
      <w:r w:rsidRPr="00E21B60">
        <w:rPr>
          <w:lang w:val="en-US"/>
        </w:rPr>
        <w:t xml:space="preserve">, </w:t>
      </w:r>
      <w:r w:rsidRPr="00E21B60">
        <w:rPr>
          <w:smallCaps/>
          <w:lang w:val="en-US"/>
        </w:rPr>
        <w:t>C. L. Burdett</w:t>
      </w:r>
      <w:r w:rsidRPr="00E21B60">
        <w:rPr>
          <w:lang w:val="en-US"/>
        </w:rPr>
        <w:t xml:space="preserve">, </w:t>
      </w:r>
      <w:r w:rsidRPr="00E21B60">
        <w:rPr>
          <w:smallCaps/>
          <w:lang w:val="en-US"/>
        </w:rPr>
        <w:t>D. M. Theobald</w:t>
      </w:r>
      <w:r w:rsidRPr="00E21B60">
        <w:rPr>
          <w:lang w:val="en-US"/>
        </w:rPr>
        <w:t xml:space="preserve">, </w:t>
      </w:r>
      <w:r w:rsidRPr="00E21B60">
        <w:rPr>
          <w:smallCaps/>
          <w:lang w:val="en-US"/>
        </w:rPr>
        <w:t>C. Rondinini</w:t>
      </w:r>
      <w:r w:rsidRPr="00E21B60">
        <w:rPr>
          <w:lang w:val="en-US"/>
        </w:rPr>
        <w:t xml:space="preserve">, and </w:t>
      </w:r>
      <w:r w:rsidRPr="00E21B60">
        <w:rPr>
          <w:smallCaps/>
          <w:lang w:val="en-US"/>
        </w:rPr>
        <w:t>L. Boitani</w:t>
      </w:r>
      <w:r w:rsidRPr="00E21B60">
        <w:rPr>
          <w:lang w:val="en-US"/>
        </w:rPr>
        <w:t>. 2011. Global patterns of fragmentation and connectivity of mammalian carnivore habitat. Philos. Trans. R. Soc. B Biol. Sci. 366: 2642–2651.</w:t>
      </w:r>
    </w:p>
    <w:p w14:paraId="6CBDBCD5" w14:textId="77777777" w:rsidR="00E21B60" w:rsidRPr="00E21B60" w:rsidRDefault="00E21B60" w:rsidP="00E21B60">
      <w:pPr>
        <w:pStyle w:val="Bibliography"/>
        <w:rPr>
          <w:lang w:val="en-US"/>
        </w:rPr>
      </w:pPr>
      <w:r w:rsidRPr="00E21B60">
        <w:rPr>
          <w:smallCaps/>
          <w:lang w:val="en-US"/>
        </w:rPr>
        <w:t>Cruz, C.</w:t>
      </w:r>
      <w:r w:rsidRPr="00E21B60">
        <w:rPr>
          <w:lang w:val="en-US"/>
        </w:rPr>
        <w:t xml:space="preserve">, </w:t>
      </w:r>
      <w:r w:rsidRPr="00E21B60">
        <w:rPr>
          <w:smallCaps/>
          <w:lang w:val="en-US"/>
        </w:rPr>
        <w:t>H. Zarza</w:t>
      </w:r>
      <w:r w:rsidRPr="00E21B60">
        <w:rPr>
          <w:lang w:val="en-US"/>
        </w:rPr>
        <w:t xml:space="preserve">, </w:t>
      </w:r>
      <w:r w:rsidRPr="00E21B60">
        <w:rPr>
          <w:smallCaps/>
          <w:lang w:val="en-US"/>
        </w:rPr>
        <w:t>J. Vidal‐Mateo</w:t>
      </w:r>
      <w:r w:rsidRPr="00E21B60">
        <w:rPr>
          <w:lang w:val="en-US"/>
        </w:rPr>
        <w:t xml:space="preserve">, </w:t>
      </w:r>
      <w:r w:rsidRPr="00E21B60">
        <w:rPr>
          <w:smallCaps/>
          <w:lang w:val="en-US"/>
        </w:rPr>
        <w:t>V. Urios</w:t>
      </w:r>
      <w:r w:rsidRPr="00E21B60">
        <w:rPr>
          <w:lang w:val="en-US"/>
        </w:rPr>
        <w:t xml:space="preserve">, and </w:t>
      </w:r>
      <w:r w:rsidRPr="00E21B60">
        <w:rPr>
          <w:smallCaps/>
          <w:lang w:val="en-US"/>
        </w:rPr>
        <w:t>G. Ceballos</w:t>
      </w:r>
      <w:r w:rsidRPr="00E21B60">
        <w:rPr>
          <w:lang w:val="en-US"/>
        </w:rPr>
        <w:t>. 2021. Top predator ecology and conservation: Lesson from jaguars in southeastern Mexico. Conserv. Sci. Pract. 3: e328.</w:t>
      </w:r>
    </w:p>
    <w:p w14:paraId="4602358F" w14:textId="77777777" w:rsidR="00E21B60" w:rsidRPr="00E21B60" w:rsidRDefault="00E21B60" w:rsidP="00E21B60">
      <w:pPr>
        <w:pStyle w:val="Bibliography"/>
        <w:rPr>
          <w:lang w:val="en-US"/>
        </w:rPr>
      </w:pPr>
      <w:r w:rsidRPr="00E21B60">
        <w:rPr>
          <w:smallCaps/>
          <w:lang w:val="en-US"/>
        </w:rPr>
        <w:t>De Araujo, G. R.</w:t>
      </w:r>
      <w:r w:rsidRPr="00E21B60">
        <w:rPr>
          <w:lang w:val="en-US"/>
        </w:rPr>
        <w:t xml:space="preserve">, </w:t>
      </w:r>
      <w:r w:rsidRPr="00E21B60">
        <w:rPr>
          <w:smallCaps/>
          <w:lang w:val="en-US"/>
        </w:rPr>
        <w:t>T. De Deco‐Souza</w:t>
      </w:r>
      <w:r w:rsidRPr="00E21B60">
        <w:rPr>
          <w:lang w:val="en-US"/>
        </w:rPr>
        <w:t xml:space="preserve">, </w:t>
      </w:r>
      <w:r w:rsidRPr="00E21B60">
        <w:rPr>
          <w:smallCaps/>
          <w:lang w:val="en-US"/>
        </w:rPr>
        <w:t>R. G. Morato</w:t>
      </w:r>
      <w:r w:rsidRPr="00E21B60">
        <w:rPr>
          <w:lang w:val="en-US"/>
        </w:rPr>
        <w:t xml:space="preserve">, </w:t>
      </w:r>
      <w:r w:rsidRPr="00E21B60">
        <w:rPr>
          <w:smallCaps/>
          <w:lang w:val="en-US"/>
        </w:rPr>
        <w:t>P. G. Crawshaw</w:t>
      </w:r>
      <w:r w:rsidRPr="00E21B60">
        <w:rPr>
          <w:lang w:val="en-US"/>
        </w:rPr>
        <w:t xml:space="preserve">, </w:t>
      </w:r>
      <w:r w:rsidRPr="00E21B60">
        <w:rPr>
          <w:smallCaps/>
          <w:lang w:val="en-US"/>
        </w:rPr>
        <w:t>L. C. Da Silva</w:t>
      </w:r>
      <w:r w:rsidRPr="00E21B60">
        <w:rPr>
          <w:lang w:val="en-US"/>
        </w:rPr>
        <w:t xml:space="preserve">, </w:t>
      </w:r>
      <w:r w:rsidRPr="00E21B60">
        <w:rPr>
          <w:smallCaps/>
          <w:lang w:val="en-US"/>
        </w:rPr>
        <w:t>P. N. Jorge‐Neto</w:t>
      </w:r>
      <w:r w:rsidRPr="00E21B60">
        <w:rPr>
          <w:lang w:val="en-US"/>
        </w:rPr>
        <w:t xml:space="preserve">, </w:t>
      </w:r>
      <w:r w:rsidRPr="00E21B60">
        <w:rPr>
          <w:smallCaps/>
          <w:lang w:val="en-US"/>
        </w:rPr>
        <w:t>A. C. Csermak‐Jr</w:t>
      </w:r>
      <w:r w:rsidRPr="00E21B60">
        <w:rPr>
          <w:lang w:val="en-US"/>
        </w:rPr>
        <w:t xml:space="preserve">, </w:t>
      </w:r>
      <w:r w:rsidRPr="00E21B60">
        <w:rPr>
          <w:smallCaps/>
          <w:lang w:val="en-US"/>
        </w:rPr>
        <w:t>L. C. F. Bergo</w:t>
      </w:r>
      <w:r w:rsidRPr="00E21B60">
        <w:rPr>
          <w:lang w:val="en-US"/>
        </w:rPr>
        <w:t xml:space="preserve">, </w:t>
      </w:r>
      <w:r w:rsidRPr="00E21B60">
        <w:rPr>
          <w:smallCaps/>
          <w:lang w:val="en-US"/>
        </w:rPr>
        <w:t>D. L. Z. Kantek</w:t>
      </w:r>
      <w:r w:rsidRPr="00E21B60">
        <w:rPr>
          <w:lang w:val="en-US"/>
        </w:rPr>
        <w:t xml:space="preserve">, </w:t>
      </w:r>
      <w:r w:rsidRPr="00E21B60">
        <w:rPr>
          <w:smallCaps/>
          <w:lang w:val="en-US"/>
        </w:rPr>
        <w:t>S. S. Miyazaki</w:t>
      </w:r>
      <w:r w:rsidRPr="00E21B60">
        <w:rPr>
          <w:lang w:val="en-US"/>
        </w:rPr>
        <w:t xml:space="preserve">, </w:t>
      </w:r>
      <w:r w:rsidRPr="00E21B60">
        <w:rPr>
          <w:smallCaps/>
          <w:lang w:val="en-US"/>
        </w:rPr>
        <w:t>B. D. M. Beisiegel</w:t>
      </w:r>
      <w:r w:rsidRPr="00E21B60">
        <w:rPr>
          <w:lang w:val="en-US"/>
        </w:rPr>
        <w:t xml:space="preserve">, </w:t>
      </w:r>
      <w:r w:rsidRPr="00E21B60">
        <w:rPr>
          <w:smallCaps/>
          <w:lang w:val="en-US"/>
        </w:rPr>
        <w:t>F. R. Tortato</w:t>
      </w:r>
      <w:r w:rsidRPr="00E21B60">
        <w:rPr>
          <w:lang w:val="en-US"/>
        </w:rPr>
        <w:t xml:space="preserve">, </w:t>
      </w:r>
      <w:r w:rsidRPr="00E21B60">
        <w:rPr>
          <w:smallCaps/>
          <w:lang w:val="en-US"/>
        </w:rPr>
        <w:t>J. A. May‐Junior</w:t>
      </w:r>
      <w:r w:rsidRPr="00E21B60">
        <w:rPr>
          <w:lang w:val="en-US"/>
        </w:rPr>
        <w:t xml:space="preserve">, </w:t>
      </w:r>
      <w:r w:rsidRPr="00E21B60">
        <w:rPr>
          <w:smallCaps/>
          <w:lang w:val="en-US"/>
        </w:rPr>
        <w:t>M. C. C. Da Silva</w:t>
      </w:r>
      <w:r w:rsidRPr="00E21B60">
        <w:rPr>
          <w:lang w:val="en-US"/>
        </w:rPr>
        <w:t xml:space="preserve">, </w:t>
      </w:r>
      <w:r w:rsidRPr="00E21B60">
        <w:rPr>
          <w:smallCaps/>
          <w:lang w:val="en-US"/>
        </w:rPr>
        <w:t>L. Leuzinger</w:t>
      </w:r>
      <w:r w:rsidRPr="00E21B60">
        <w:rPr>
          <w:lang w:val="en-US"/>
        </w:rPr>
        <w:t xml:space="preserve">, </w:t>
      </w:r>
      <w:r w:rsidRPr="00E21B60">
        <w:rPr>
          <w:smallCaps/>
          <w:lang w:val="en-US"/>
        </w:rPr>
        <w:t>J. A. Salomão‐Jr</w:t>
      </w:r>
      <w:r w:rsidRPr="00E21B60">
        <w:rPr>
          <w:lang w:val="en-US"/>
        </w:rPr>
        <w:t xml:space="preserve">, and </w:t>
      </w:r>
      <w:r w:rsidRPr="00E21B60">
        <w:rPr>
          <w:smallCaps/>
          <w:lang w:val="en-US"/>
        </w:rPr>
        <w:t>T. A. R. De Paula</w:t>
      </w:r>
      <w:r w:rsidRPr="00E21B60">
        <w:rPr>
          <w:lang w:val="en-US"/>
        </w:rPr>
        <w:t>. 2021. Use of foot snares to capture large felids A. Ellison (Ed.). Methods Ecol. Evol. 12: 322–327.</w:t>
      </w:r>
    </w:p>
    <w:p w14:paraId="5DCD844B" w14:textId="77777777" w:rsidR="00E21B60" w:rsidRPr="00E21B60" w:rsidRDefault="00E21B60" w:rsidP="00E21B60">
      <w:pPr>
        <w:pStyle w:val="Bibliography"/>
        <w:rPr>
          <w:lang w:val="en-US"/>
        </w:rPr>
      </w:pPr>
      <w:r w:rsidRPr="00E21B60">
        <w:rPr>
          <w:smallCaps/>
          <w:lang w:val="en-US"/>
        </w:rPr>
        <w:lastRenderedPageBreak/>
        <w:t>De Azevedo, F. C. C.</w:t>
      </w:r>
      <w:r w:rsidRPr="00E21B60">
        <w:rPr>
          <w:lang w:val="en-US"/>
        </w:rPr>
        <w:t xml:space="preserve">, and </w:t>
      </w:r>
      <w:r w:rsidRPr="00E21B60">
        <w:rPr>
          <w:smallCaps/>
          <w:lang w:val="en-US"/>
        </w:rPr>
        <w:t>D. L. Murray</w:t>
      </w:r>
      <w:r w:rsidRPr="00E21B60">
        <w:rPr>
          <w:lang w:val="en-US"/>
        </w:rPr>
        <w:t>. 2007. Spatial organization and food habits of jaguars (Panthera onca) in a floodplain forest. Biol. Conserv. 137: 391–402.</w:t>
      </w:r>
    </w:p>
    <w:p w14:paraId="305906D1" w14:textId="77777777" w:rsidR="00E21B60" w:rsidRPr="00E21B60" w:rsidRDefault="00E21B60" w:rsidP="00E21B60">
      <w:pPr>
        <w:pStyle w:val="Bibliography"/>
        <w:rPr>
          <w:lang w:val="en-US"/>
        </w:rPr>
      </w:pPr>
      <w:r w:rsidRPr="00E21B60">
        <w:rPr>
          <w:smallCaps/>
          <w:lang w:val="en-US"/>
        </w:rPr>
        <w:t>Dias, G.</w:t>
      </w:r>
      <w:r w:rsidRPr="00E21B60">
        <w:rPr>
          <w:lang w:val="en-US"/>
        </w:rPr>
        <w:t xml:space="preserve">, </w:t>
      </w:r>
      <w:r w:rsidRPr="00E21B60">
        <w:rPr>
          <w:smallCaps/>
          <w:lang w:val="en-US"/>
        </w:rPr>
        <w:t>A. Gambarini</w:t>
      </w:r>
      <w:r w:rsidRPr="00E21B60">
        <w:rPr>
          <w:lang w:val="en-US"/>
        </w:rPr>
        <w:t xml:space="preserve">, </w:t>
      </w:r>
      <w:r w:rsidRPr="00E21B60">
        <w:rPr>
          <w:smallCaps/>
          <w:lang w:val="en-US"/>
        </w:rPr>
        <w:t>M. Oliveira-da-Costa</w:t>
      </w:r>
      <w:r w:rsidRPr="00E21B60">
        <w:rPr>
          <w:lang w:val="en-US"/>
        </w:rPr>
        <w:t xml:space="preserve">, and </w:t>
      </w:r>
      <w:r w:rsidRPr="00E21B60">
        <w:rPr>
          <w:smallCaps/>
          <w:lang w:val="en-US"/>
        </w:rPr>
        <w:t>M. Marmontel</w:t>
      </w:r>
      <w:r w:rsidRPr="00E21B60">
        <w:rPr>
          <w:lang w:val="en-US"/>
        </w:rPr>
        <w:t>. 2025. An Unusual Record of a Marine Dolphin (Sotalia guianensis) Being Scavenged by Jaguar (Panthera onca) at the Northern Brazilian Amazon. Aquat. Mamm. 51: 178–184.</w:t>
      </w:r>
    </w:p>
    <w:p w14:paraId="62674409" w14:textId="77777777" w:rsidR="00E21B60" w:rsidRPr="00E21B60" w:rsidRDefault="00E21B60" w:rsidP="00E21B60">
      <w:pPr>
        <w:pStyle w:val="Bibliography"/>
        <w:rPr>
          <w:lang w:val="en-US"/>
        </w:rPr>
      </w:pPr>
      <w:r w:rsidRPr="00E21B60">
        <w:rPr>
          <w:smallCaps/>
          <w:lang w:val="en-US"/>
        </w:rPr>
        <w:t>Dobbins, M. T.</w:t>
      </w:r>
      <w:r w:rsidRPr="00E21B60">
        <w:rPr>
          <w:lang w:val="en-US"/>
        </w:rPr>
        <w:t xml:space="preserve">, </w:t>
      </w:r>
      <w:r w:rsidRPr="00E21B60">
        <w:rPr>
          <w:smallCaps/>
          <w:lang w:val="en-US"/>
        </w:rPr>
        <w:t>M. K. Steinberg</w:t>
      </w:r>
      <w:r w:rsidRPr="00E21B60">
        <w:rPr>
          <w:lang w:val="en-US"/>
        </w:rPr>
        <w:t xml:space="preserve">, </w:t>
      </w:r>
      <w:r w:rsidRPr="00E21B60">
        <w:rPr>
          <w:smallCaps/>
          <w:lang w:val="en-US"/>
        </w:rPr>
        <w:t>E. N. Broadbent</w:t>
      </w:r>
      <w:r w:rsidRPr="00E21B60">
        <w:rPr>
          <w:lang w:val="en-US"/>
        </w:rPr>
        <w:t xml:space="preserve">, and </w:t>
      </w:r>
      <w:r w:rsidRPr="00E21B60">
        <w:rPr>
          <w:smallCaps/>
          <w:lang w:val="en-US"/>
        </w:rPr>
        <w:t>S. J. Ryan</w:t>
      </w:r>
      <w:r w:rsidRPr="00E21B60">
        <w:rPr>
          <w:lang w:val="en-US"/>
        </w:rPr>
        <w:t xml:space="preserve">. 2018. Habitat use, activity patterns and human interactions with jaguars </w:t>
      </w:r>
      <w:r w:rsidRPr="00E21B60">
        <w:rPr>
          <w:i/>
          <w:iCs/>
          <w:lang w:val="en-US"/>
        </w:rPr>
        <w:t>Panthera onca</w:t>
      </w:r>
      <w:r w:rsidRPr="00E21B60">
        <w:rPr>
          <w:lang w:val="en-US"/>
        </w:rPr>
        <w:t xml:space="preserve"> in southern Belize. Oryx 52: 276–281.</w:t>
      </w:r>
    </w:p>
    <w:p w14:paraId="2EA9EB61" w14:textId="77777777" w:rsidR="00E21B60" w:rsidRPr="00E21B60" w:rsidRDefault="00E21B60" w:rsidP="00E21B60">
      <w:pPr>
        <w:pStyle w:val="Bibliography"/>
        <w:rPr>
          <w:lang w:val="en-US"/>
        </w:rPr>
      </w:pPr>
      <w:r w:rsidRPr="00E21B60">
        <w:rPr>
          <w:smallCaps/>
          <w:lang w:val="en-US"/>
        </w:rPr>
        <w:t>Duarte, H. O. B.</w:t>
      </w:r>
      <w:r w:rsidRPr="00E21B60">
        <w:rPr>
          <w:lang w:val="en-US"/>
        </w:rPr>
        <w:t xml:space="preserve">, </w:t>
      </w:r>
      <w:r w:rsidRPr="00E21B60">
        <w:rPr>
          <w:smallCaps/>
          <w:lang w:val="en-US"/>
        </w:rPr>
        <w:t>V. Boron</w:t>
      </w:r>
      <w:r w:rsidRPr="00E21B60">
        <w:rPr>
          <w:lang w:val="en-US"/>
        </w:rPr>
        <w:t xml:space="preserve">, </w:t>
      </w:r>
      <w:r w:rsidRPr="00E21B60">
        <w:rPr>
          <w:smallCaps/>
          <w:lang w:val="en-US"/>
        </w:rPr>
        <w:t>W. D. Carvalho</w:t>
      </w:r>
      <w:r w:rsidRPr="00E21B60">
        <w:rPr>
          <w:lang w:val="en-US"/>
        </w:rPr>
        <w:t xml:space="preserve">, and </w:t>
      </w:r>
      <w:r w:rsidRPr="00E21B60">
        <w:rPr>
          <w:smallCaps/>
          <w:lang w:val="en-US"/>
        </w:rPr>
        <w:t>J. J. De Toledo</w:t>
      </w:r>
      <w:r w:rsidRPr="00E21B60">
        <w:rPr>
          <w:lang w:val="en-US"/>
        </w:rPr>
        <w:t>. 2022. Amazon islands as predator refugia: jaguar density and temporal activity in Maracá-Jipioca M. Cherry (Ed.). J. Mammal. 103: 440–446.</w:t>
      </w:r>
    </w:p>
    <w:p w14:paraId="47B7C779" w14:textId="77777777" w:rsidR="00E21B60" w:rsidRPr="00E21B60" w:rsidRDefault="00E21B60" w:rsidP="00E21B60">
      <w:pPr>
        <w:pStyle w:val="Bibliography"/>
        <w:rPr>
          <w:lang w:val="en-US"/>
        </w:rPr>
      </w:pPr>
      <w:r w:rsidRPr="00E21B60">
        <w:rPr>
          <w:smallCaps/>
          <w:lang w:val="en-US"/>
        </w:rPr>
        <w:t>Duarte, H. O. B.</w:t>
      </w:r>
      <w:r w:rsidRPr="00E21B60">
        <w:rPr>
          <w:lang w:val="en-US"/>
        </w:rPr>
        <w:t xml:space="preserve">, </w:t>
      </w:r>
      <w:r w:rsidRPr="00E21B60">
        <w:rPr>
          <w:smallCaps/>
          <w:lang w:val="en-US"/>
        </w:rPr>
        <w:t>W. D. Carvalho</w:t>
      </w:r>
      <w:r w:rsidRPr="00E21B60">
        <w:rPr>
          <w:lang w:val="en-US"/>
        </w:rPr>
        <w:t xml:space="preserve">, </w:t>
      </w:r>
      <w:r w:rsidRPr="00E21B60">
        <w:rPr>
          <w:smallCaps/>
          <w:lang w:val="en-US"/>
        </w:rPr>
        <w:t>J. J. De Toledo</w:t>
      </w:r>
      <w:r w:rsidRPr="00E21B60">
        <w:rPr>
          <w:lang w:val="en-US"/>
        </w:rPr>
        <w:t xml:space="preserve">, and </w:t>
      </w:r>
      <w:r w:rsidRPr="00E21B60">
        <w:rPr>
          <w:smallCaps/>
          <w:lang w:val="en-US"/>
        </w:rPr>
        <w:t>L. M. Rosalino</w:t>
      </w:r>
      <w:r w:rsidRPr="00E21B60">
        <w:rPr>
          <w:lang w:val="en-US"/>
        </w:rPr>
        <w:t>. 2023. Big cats like water: occupancy patterns of jaguar in a unique and insular Brazilian Amazon ecosystem. Mammal Res. 68: 263–271.</w:t>
      </w:r>
    </w:p>
    <w:p w14:paraId="706C41A0" w14:textId="77777777" w:rsidR="00E21B60" w:rsidRPr="00E21B60" w:rsidRDefault="00E21B60" w:rsidP="00E21B60">
      <w:pPr>
        <w:pStyle w:val="Bibliography"/>
        <w:rPr>
          <w:lang w:val="en-US"/>
        </w:rPr>
      </w:pPr>
      <w:r w:rsidRPr="00E21B60">
        <w:rPr>
          <w:smallCaps/>
          <w:lang w:val="en-US"/>
        </w:rPr>
        <w:t>Emmons, L. H.</w:t>
      </w:r>
      <w:r w:rsidRPr="00E21B60">
        <w:rPr>
          <w:lang w:val="en-US"/>
        </w:rPr>
        <w:t xml:space="preserve"> 1987. Comparative feeding ecology of felids in a neotropical rainforest. Behav. Ecol. Sociobiol. 20: 271–283.</w:t>
      </w:r>
    </w:p>
    <w:p w14:paraId="041E7AB5" w14:textId="77777777" w:rsidR="00E21B60" w:rsidRPr="00E21B60" w:rsidRDefault="00E21B60" w:rsidP="00E21B60">
      <w:pPr>
        <w:pStyle w:val="Bibliography"/>
        <w:rPr>
          <w:lang w:val="en-US"/>
        </w:rPr>
      </w:pPr>
      <w:r w:rsidRPr="00E21B60">
        <w:rPr>
          <w:smallCaps/>
          <w:lang w:val="en-US"/>
        </w:rPr>
        <w:t>Eriksson, C. E.</w:t>
      </w:r>
      <w:r w:rsidRPr="00E21B60">
        <w:rPr>
          <w:lang w:val="en-US"/>
        </w:rPr>
        <w:t xml:space="preserve"> 2022. Effects of Aquatic Resource Subsidies on the Ecology of Terrestrial Top Predators. Doctoral. Oregon State Univeristy, Oregon. Available at: https://ir.library.oregonstate.edu/concern/graduate_thesis_or_dissertations/ws859p558.</w:t>
      </w:r>
    </w:p>
    <w:p w14:paraId="205634AB" w14:textId="77777777" w:rsidR="00E21B60" w:rsidRPr="00E21B60" w:rsidRDefault="00E21B60" w:rsidP="00E21B60">
      <w:pPr>
        <w:pStyle w:val="Bibliography"/>
        <w:rPr>
          <w:lang w:val="en-US"/>
        </w:rPr>
      </w:pPr>
      <w:r w:rsidRPr="00E21B60">
        <w:rPr>
          <w:smallCaps/>
          <w:lang w:val="en-US"/>
        </w:rPr>
        <w:t>Eriksson, C. E.</w:t>
      </w:r>
      <w:r w:rsidRPr="00E21B60">
        <w:rPr>
          <w:lang w:val="en-US"/>
        </w:rPr>
        <w:t xml:space="preserve">, </w:t>
      </w:r>
      <w:r w:rsidRPr="00E21B60">
        <w:rPr>
          <w:smallCaps/>
          <w:lang w:val="en-US"/>
        </w:rPr>
        <w:t>D. L. Z. Kantek</w:t>
      </w:r>
      <w:r w:rsidRPr="00E21B60">
        <w:rPr>
          <w:lang w:val="en-US"/>
        </w:rPr>
        <w:t xml:space="preserve">, </w:t>
      </w:r>
      <w:r w:rsidRPr="00E21B60">
        <w:rPr>
          <w:smallCaps/>
          <w:lang w:val="en-US"/>
        </w:rPr>
        <w:t>S. S. Miyazaki</w:t>
      </w:r>
      <w:r w:rsidRPr="00E21B60">
        <w:rPr>
          <w:lang w:val="en-US"/>
        </w:rPr>
        <w:t xml:space="preserve">, </w:t>
      </w:r>
      <w:r w:rsidRPr="00E21B60">
        <w:rPr>
          <w:smallCaps/>
          <w:lang w:val="en-US"/>
        </w:rPr>
        <w:t>R. G. Morato</w:t>
      </w:r>
      <w:r w:rsidRPr="00E21B60">
        <w:rPr>
          <w:lang w:val="en-US"/>
        </w:rPr>
        <w:t xml:space="preserve">, </w:t>
      </w:r>
      <w:r w:rsidRPr="00E21B60">
        <w:rPr>
          <w:smallCaps/>
          <w:lang w:val="en-US"/>
        </w:rPr>
        <w:t>M. Dos Santos‐Filho</w:t>
      </w:r>
      <w:r w:rsidRPr="00E21B60">
        <w:rPr>
          <w:lang w:val="en-US"/>
        </w:rPr>
        <w:t xml:space="preserve">, </w:t>
      </w:r>
      <w:r w:rsidRPr="00E21B60">
        <w:rPr>
          <w:smallCaps/>
          <w:lang w:val="en-US"/>
        </w:rPr>
        <w:t>J. S. Ruprecht</w:t>
      </w:r>
      <w:r w:rsidRPr="00E21B60">
        <w:rPr>
          <w:lang w:val="en-US"/>
        </w:rPr>
        <w:t xml:space="preserve">, </w:t>
      </w:r>
      <w:r w:rsidRPr="00E21B60">
        <w:rPr>
          <w:smallCaps/>
          <w:lang w:val="en-US"/>
        </w:rPr>
        <w:t>C. A. Peres</w:t>
      </w:r>
      <w:r w:rsidRPr="00E21B60">
        <w:rPr>
          <w:lang w:val="en-US"/>
        </w:rPr>
        <w:t xml:space="preserve">, and </w:t>
      </w:r>
      <w:r w:rsidRPr="00E21B60">
        <w:rPr>
          <w:smallCaps/>
          <w:lang w:val="en-US"/>
        </w:rPr>
        <w:t>T. Levi</w:t>
      </w:r>
      <w:r w:rsidRPr="00E21B60">
        <w:rPr>
          <w:lang w:val="en-US"/>
        </w:rPr>
        <w:t>. 2022. Extensive aquatic subsidies lead to territorial breakdown and high density of an apex predator. Ecology 103: e03543.</w:t>
      </w:r>
    </w:p>
    <w:p w14:paraId="262F3F77" w14:textId="77777777" w:rsidR="00E21B60" w:rsidRPr="00E21B60" w:rsidRDefault="00E21B60" w:rsidP="00E21B60">
      <w:pPr>
        <w:pStyle w:val="Bibliography"/>
        <w:rPr>
          <w:lang w:val="en-US"/>
        </w:rPr>
      </w:pPr>
      <w:r w:rsidRPr="00E21B60">
        <w:rPr>
          <w:smallCaps/>
          <w:lang w:val="en-US"/>
        </w:rPr>
        <w:t>European Union-Copernicus Marine Service</w:t>
      </w:r>
      <w:r w:rsidRPr="00E21B60">
        <w:rPr>
          <w:lang w:val="en-US"/>
        </w:rPr>
        <w:t>. 2016. Global Ocean 1/12° Physics Analysis and Forecast updated Daily. Available at: https://resources.marine.copernicus.eu/product-detail/GLOBAL_ANALYSISFORECAST_PHY_001_024/INFORMATION [Accessed June 26, 2025].</w:t>
      </w:r>
    </w:p>
    <w:p w14:paraId="7DA28CAC" w14:textId="77777777" w:rsidR="00E21B60" w:rsidRPr="00E21B60" w:rsidRDefault="00E21B60" w:rsidP="00E21B60">
      <w:pPr>
        <w:pStyle w:val="Bibliography"/>
        <w:rPr>
          <w:lang w:val="en-US"/>
        </w:rPr>
      </w:pPr>
      <w:r w:rsidRPr="00E21B60">
        <w:rPr>
          <w:smallCaps/>
          <w:lang w:val="en-US"/>
        </w:rPr>
        <w:t>Fithian, W.</w:t>
      </w:r>
      <w:r w:rsidRPr="00E21B60">
        <w:rPr>
          <w:lang w:val="en-US"/>
        </w:rPr>
        <w:t xml:space="preserve">, and </w:t>
      </w:r>
      <w:r w:rsidRPr="00E21B60">
        <w:rPr>
          <w:smallCaps/>
          <w:lang w:val="en-US"/>
        </w:rPr>
        <w:t>T. Hastie</w:t>
      </w:r>
      <w:r w:rsidRPr="00E21B60">
        <w:rPr>
          <w:lang w:val="en-US"/>
        </w:rPr>
        <w:t>. 2013. Finite-sample equivalence in statistical models for presence-only data. Ann. Appl. Stat. 7. Available at: https://projecteuclid.org/journals/annals-of-applied-statistics/volume-7/issue-4/Finite-sample-equivalence-in-statistical-models-for-presence-only-data/10.1214/13-AOAS667.full [Accessed June 26, 2025].</w:t>
      </w:r>
    </w:p>
    <w:p w14:paraId="5FFB9785" w14:textId="77777777" w:rsidR="00E21B60" w:rsidRPr="00E21B60" w:rsidRDefault="00E21B60" w:rsidP="00E21B60">
      <w:pPr>
        <w:pStyle w:val="Bibliography"/>
        <w:rPr>
          <w:lang w:val="en-US"/>
        </w:rPr>
      </w:pPr>
      <w:r w:rsidRPr="00E21B60">
        <w:rPr>
          <w:smallCaps/>
          <w:lang w:val="en-US"/>
        </w:rPr>
        <w:t>Fleming, C. H.</w:t>
      </w:r>
      <w:r w:rsidRPr="00E21B60">
        <w:rPr>
          <w:lang w:val="en-US"/>
        </w:rPr>
        <w:t xml:space="preserve">, and </w:t>
      </w:r>
      <w:r w:rsidRPr="00E21B60">
        <w:rPr>
          <w:smallCaps/>
          <w:lang w:val="en-US"/>
        </w:rPr>
        <w:t>J. M. Calabrese</w:t>
      </w:r>
      <w:r w:rsidRPr="00E21B60">
        <w:rPr>
          <w:lang w:val="en-US"/>
        </w:rPr>
        <w:t>. 2017. A new kernel density estimator for accurate home‐range and species‐range area estimation S. Dray (Ed.). Methods Ecol. Evol. 8: 571–579.</w:t>
      </w:r>
    </w:p>
    <w:p w14:paraId="51F0BEE1" w14:textId="77777777" w:rsidR="00E21B60" w:rsidRPr="00E21B60" w:rsidRDefault="00E21B60" w:rsidP="00E21B60">
      <w:pPr>
        <w:pStyle w:val="Bibliography"/>
        <w:rPr>
          <w:lang w:val="en-US"/>
        </w:rPr>
      </w:pPr>
      <w:r w:rsidRPr="00E21B60">
        <w:rPr>
          <w:smallCaps/>
          <w:lang w:val="en-US"/>
        </w:rPr>
        <w:t>Fleming, C. H.</w:t>
      </w:r>
      <w:r w:rsidRPr="00E21B60">
        <w:rPr>
          <w:lang w:val="en-US"/>
        </w:rPr>
        <w:t xml:space="preserve">, </w:t>
      </w:r>
      <w:r w:rsidRPr="00E21B60">
        <w:rPr>
          <w:smallCaps/>
          <w:lang w:val="en-US"/>
        </w:rPr>
        <w:t>J. M. Calabrese</w:t>
      </w:r>
      <w:r w:rsidRPr="00E21B60">
        <w:rPr>
          <w:lang w:val="en-US"/>
        </w:rPr>
        <w:t xml:space="preserve">, </w:t>
      </w:r>
      <w:r w:rsidRPr="00E21B60">
        <w:rPr>
          <w:smallCaps/>
          <w:lang w:val="en-US"/>
        </w:rPr>
        <w:t>T. Mueller</w:t>
      </w:r>
      <w:r w:rsidRPr="00E21B60">
        <w:rPr>
          <w:lang w:val="en-US"/>
        </w:rPr>
        <w:t xml:space="preserve">, </w:t>
      </w:r>
      <w:r w:rsidRPr="00E21B60">
        <w:rPr>
          <w:smallCaps/>
          <w:lang w:val="en-US"/>
        </w:rPr>
        <w:t>K. A. Olson</w:t>
      </w:r>
      <w:r w:rsidRPr="00E21B60">
        <w:rPr>
          <w:lang w:val="en-US"/>
        </w:rPr>
        <w:t xml:space="preserve">, </w:t>
      </w:r>
      <w:r w:rsidRPr="00E21B60">
        <w:rPr>
          <w:smallCaps/>
          <w:lang w:val="en-US"/>
        </w:rPr>
        <w:t>P. Leimgruber</w:t>
      </w:r>
      <w:r w:rsidRPr="00E21B60">
        <w:rPr>
          <w:lang w:val="en-US"/>
        </w:rPr>
        <w:t xml:space="preserve">, and </w:t>
      </w:r>
      <w:r w:rsidRPr="00E21B60">
        <w:rPr>
          <w:smallCaps/>
          <w:lang w:val="en-US"/>
        </w:rPr>
        <w:t>W. F. Fagan</w:t>
      </w:r>
      <w:r w:rsidRPr="00E21B60">
        <w:rPr>
          <w:lang w:val="en-US"/>
        </w:rPr>
        <w:t>. 2014. From Fine-Scale Foraging to Home Ranges: A Semivariance Approach to Identifying Movement Modes across Spatiotemporal Scales. Am. Nat. 183: E154–E167.</w:t>
      </w:r>
    </w:p>
    <w:p w14:paraId="1BD7975B" w14:textId="77777777" w:rsidR="00E21B60" w:rsidRPr="00E21B60" w:rsidRDefault="00E21B60" w:rsidP="00E21B60">
      <w:pPr>
        <w:pStyle w:val="Bibliography"/>
        <w:rPr>
          <w:lang w:val="en-US"/>
        </w:rPr>
      </w:pPr>
      <w:r w:rsidRPr="00E21B60">
        <w:rPr>
          <w:smallCaps/>
          <w:lang w:val="en-US"/>
        </w:rPr>
        <w:lastRenderedPageBreak/>
        <w:t>Fleming, C. H.</w:t>
      </w:r>
      <w:r w:rsidRPr="00E21B60">
        <w:rPr>
          <w:lang w:val="en-US"/>
        </w:rPr>
        <w:t xml:space="preserve">, </w:t>
      </w:r>
      <w:r w:rsidRPr="00E21B60">
        <w:rPr>
          <w:smallCaps/>
          <w:lang w:val="en-US"/>
        </w:rPr>
        <w:t>I. Deznabi</w:t>
      </w:r>
      <w:r w:rsidRPr="00E21B60">
        <w:rPr>
          <w:lang w:val="en-US"/>
        </w:rPr>
        <w:t xml:space="preserve">, </w:t>
      </w:r>
      <w:r w:rsidRPr="00E21B60">
        <w:rPr>
          <w:smallCaps/>
          <w:lang w:val="en-US"/>
        </w:rPr>
        <w:t>S. Alavi</w:t>
      </w:r>
      <w:r w:rsidRPr="00E21B60">
        <w:rPr>
          <w:lang w:val="en-US"/>
        </w:rPr>
        <w:t xml:space="preserve">, </w:t>
      </w:r>
      <w:r w:rsidRPr="00E21B60">
        <w:rPr>
          <w:smallCaps/>
          <w:lang w:val="en-US"/>
        </w:rPr>
        <w:t>M. C. Crofoot</w:t>
      </w:r>
      <w:r w:rsidRPr="00E21B60">
        <w:rPr>
          <w:lang w:val="en-US"/>
        </w:rPr>
        <w:t xml:space="preserve">, </w:t>
      </w:r>
      <w:r w:rsidRPr="00E21B60">
        <w:rPr>
          <w:smallCaps/>
          <w:lang w:val="en-US"/>
        </w:rPr>
        <w:t>B. T. Hirsch</w:t>
      </w:r>
      <w:r w:rsidRPr="00E21B60">
        <w:rPr>
          <w:lang w:val="en-US"/>
        </w:rPr>
        <w:t xml:space="preserve">, </w:t>
      </w:r>
      <w:r w:rsidRPr="00E21B60">
        <w:rPr>
          <w:smallCaps/>
          <w:lang w:val="en-US"/>
        </w:rPr>
        <w:t>E. P. Medici</w:t>
      </w:r>
      <w:r w:rsidRPr="00E21B60">
        <w:rPr>
          <w:lang w:val="en-US"/>
        </w:rPr>
        <w:t xml:space="preserve">, </w:t>
      </w:r>
      <w:r w:rsidRPr="00E21B60">
        <w:rPr>
          <w:smallCaps/>
          <w:lang w:val="en-US"/>
        </w:rPr>
        <w:t>M. J. Noonan</w:t>
      </w:r>
      <w:r w:rsidRPr="00E21B60">
        <w:rPr>
          <w:lang w:val="en-US"/>
        </w:rPr>
        <w:t xml:space="preserve">, </w:t>
      </w:r>
      <w:r w:rsidRPr="00E21B60">
        <w:rPr>
          <w:smallCaps/>
          <w:lang w:val="en-US"/>
        </w:rPr>
        <w:t>R. Kays</w:t>
      </w:r>
      <w:r w:rsidRPr="00E21B60">
        <w:rPr>
          <w:lang w:val="en-US"/>
        </w:rPr>
        <w:t xml:space="preserve">, </w:t>
      </w:r>
      <w:r w:rsidRPr="00E21B60">
        <w:rPr>
          <w:smallCaps/>
          <w:lang w:val="en-US"/>
        </w:rPr>
        <w:t>W. F. Fagan</w:t>
      </w:r>
      <w:r w:rsidRPr="00E21B60">
        <w:rPr>
          <w:lang w:val="en-US"/>
        </w:rPr>
        <w:t xml:space="preserve">, </w:t>
      </w:r>
      <w:r w:rsidRPr="00E21B60">
        <w:rPr>
          <w:smallCaps/>
          <w:lang w:val="en-US"/>
        </w:rPr>
        <w:t>D. Sheldon</w:t>
      </w:r>
      <w:r w:rsidRPr="00E21B60">
        <w:rPr>
          <w:lang w:val="en-US"/>
        </w:rPr>
        <w:t xml:space="preserve">, and </w:t>
      </w:r>
      <w:r w:rsidRPr="00E21B60">
        <w:rPr>
          <w:smallCaps/>
          <w:lang w:val="en-US"/>
        </w:rPr>
        <w:t>J. M. Calabrese</w:t>
      </w:r>
      <w:r w:rsidRPr="00E21B60">
        <w:rPr>
          <w:lang w:val="en-US"/>
        </w:rPr>
        <w:t>. 2022. Population‐level inference for home‐range areas. Methods Ecol. Evol. 13: 1027–1041.</w:t>
      </w:r>
    </w:p>
    <w:p w14:paraId="38D63AD4" w14:textId="77777777" w:rsidR="00E21B60" w:rsidRPr="00E21B60" w:rsidRDefault="00E21B60" w:rsidP="00E21B60">
      <w:pPr>
        <w:pStyle w:val="Bibliography"/>
        <w:rPr>
          <w:lang w:val="en-US"/>
        </w:rPr>
      </w:pPr>
      <w:r w:rsidRPr="00E21B60">
        <w:rPr>
          <w:smallCaps/>
          <w:lang w:val="en-US"/>
        </w:rPr>
        <w:t>Fleming, C. H.</w:t>
      </w:r>
      <w:r w:rsidRPr="00E21B60">
        <w:rPr>
          <w:lang w:val="en-US"/>
        </w:rPr>
        <w:t xml:space="preserve">, </w:t>
      </w:r>
      <w:r w:rsidRPr="00E21B60">
        <w:rPr>
          <w:smallCaps/>
          <w:lang w:val="en-US"/>
        </w:rPr>
        <w:t>W. F. Fagan</w:t>
      </w:r>
      <w:r w:rsidRPr="00E21B60">
        <w:rPr>
          <w:lang w:val="en-US"/>
        </w:rPr>
        <w:t xml:space="preserve">, </w:t>
      </w:r>
      <w:r w:rsidRPr="00E21B60">
        <w:rPr>
          <w:smallCaps/>
          <w:lang w:val="en-US"/>
        </w:rPr>
        <w:t>T. Mueller</w:t>
      </w:r>
      <w:r w:rsidRPr="00E21B60">
        <w:rPr>
          <w:lang w:val="en-US"/>
        </w:rPr>
        <w:t xml:space="preserve">, </w:t>
      </w:r>
      <w:r w:rsidRPr="00E21B60">
        <w:rPr>
          <w:smallCaps/>
          <w:lang w:val="en-US"/>
        </w:rPr>
        <w:t>K. A. Olson</w:t>
      </w:r>
      <w:r w:rsidRPr="00E21B60">
        <w:rPr>
          <w:lang w:val="en-US"/>
        </w:rPr>
        <w:t xml:space="preserve">, </w:t>
      </w:r>
      <w:r w:rsidRPr="00E21B60">
        <w:rPr>
          <w:smallCaps/>
          <w:lang w:val="en-US"/>
        </w:rPr>
        <w:t>P. Leimgruber</w:t>
      </w:r>
      <w:r w:rsidRPr="00E21B60">
        <w:rPr>
          <w:lang w:val="en-US"/>
        </w:rPr>
        <w:t xml:space="preserve">, and </w:t>
      </w:r>
      <w:r w:rsidRPr="00E21B60">
        <w:rPr>
          <w:smallCaps/>
          <w:lang w:val="en-US"/>
        </w:rPr>
        <w:t>J. M. Calabrese</w:t>
      </w:r>
      <w:r w:rsidRPr="00E21B60">
        <w:rPr>
          <w:lang w:val="en-US"/>
        </w:rPr>
        <w:t>. 2015. Rigorous home range estimation with movement data: a new autocorrelated kernel density estimator. Ecology 96: 1182–1188.</w:t>
      </w:r>
    </w:p>
    <w:p w14:paraId="0D9B9669" w14:textId="77777777" w:rsidR="00E21B60" w:rsidRPr="00E21B60" w:rsidRDefault="00E21B60" w:rsidP="00E21B60">
      <w:pPr>
        <w:pStyle w:val="Bibliography"/>
        <w:rPr>
          <w:lang w:val="en-US"/>
        </w:rPr>
      </w:pPr>
      <w:r w:rsidRPr="00E21B60">
        <w:rPr>
          <w:smallCaps/>
          <w:lang w:val="en-US"/>
        </w:rPr>
        <w:t>Fleming, C. H.</w:t>
      </w:r>
      <w:r w:rsidRPr="00E21B60">
        <w:rPr>
          <w:lang w:val="en-US"/>
        </w:rPr>
        <w:t xml:space="preserve">, </w:t>
      </w:r>
      <w:r w:rsidRPr="00E21B60">
        <w:rPr>
          <w:smallCaps/>
          <w:lang w:val="en-US"/>
        </w:rPr>
        <w:t>M. J. Noonan</w:t>
      </w:r>
      <w:r w:rsidRPr="00E21B60">
        <w:rPr>
          <w:lang w:val="en-US"/>
        </w:rPr>
        <w:t xml:space="preserve">, </w:t>
      </w:r>
      <w:r w:rsidRPr="00E21B60">
        <w:rPr>
          <w:smallCaps/>
          <w:lang w:val="en-US"/>
        </w:rPr>
        <w:t>E. P. Medici</w:t>
      </w:r>
      <w:r w:rsidRPr="00E21B60">
        <w:rPr>
          <w:lang w:val="en-US"/>
        </w:rPr>
        <w:t xml:space="preserve">, and </w:t>
      </w:r>
      <w:r w:rsidRPr="00E21B60">
        <w:rPr>
          <w:smallCaps/>
          <w:lang w:val="en-US"/>
        </w:rPr>
        <w:t>J. M. Calabrese</w:t>
      </w:r>
      <w:r w:rsidRPr="00E21B60">
        <w:rPr>
          <w:lang w:val="en-US"/>
        </w:rPr>
        <w:t>. 2019. Overcoming the challenge of small effective sample sizes in home‐range estimation J. Matthiopoulos (Ed.). Methods Ecol. Evol. 10: 1679–1689.</w:t>
      </w:r>
    </w:p>
    <w:p w14:paraId="24E5E0E2" w14:textId="77777777" w:rsidR="00E21B60" w:rsidRPr="00E21B60" w:rsidRDefault="00E21B60" w:rsidP="00E21B60">
      <w:pPr>
        <w:pStyle w:val="Bibliography"/>
        <w:rPr>
          <w:lang w:val="en-US"/>
        </w:rPr>
      </w:pPr>
      <w:r w:rsidRPr="00E21B60">
        <w:rPr>
          <w:smallCaps/>
          <w:lang w:val="en-US"/>
        </w:rPr>
        <w:t>Fleming, C. H.</w:t>
      </w:r>
      <w:r w:rsidRPr="00E21B60">
        <w:rPr>
          <w:lang w:val="en-US"/>
        </w:rPr>
        <w:t xml:space="preserve">, </w:t>
      </w:r>
      <w:r w:rsidRPr="00E21B60">
        <w:rPr>
          <w:smallCaps/>
          <w:lang w:val="en-US"/>
        </w:rPr>
        <w:t>D. Sheldon</w:t>
      </w:r>
      <w:r w:rsidRPr="00E21B60">
        <w:rPr>
          <w:lang w:val="en-US"/>
        </w:rPr>
        <w:t xml:space="preserve">, </w:t>
      </w:r>
      <w:r w:rsidRPr="00E21B60">
        <w:rPr>
          <w:smallCaps/>
          <w:lang w:val="en-US"/>
        </w:rPr>
        <w:t>W. F. Fagan</w:t>
      </w:r>
      <w:r w:rsidRPr="00E21B60">
        <w:rPr>
          <w:lang w:val="en-US"/>
        </w:rPr>
        <w:t xml:space="preserve">, </w:t>
      </w:r>
      <w:r w:rsidRPr="00E21B60">
        <w:rPr>
          <w:smallCaps/>
          <w:lang w:val="en-US"/>
        </w:rPr>
        <w:t>P. Leimgruber</w:t>
      </w:r>
      <w:r w:rsidRPr="00E21B60">
        <w:rPr>
          <w:lang w:val="en-US"/>
        </w:rPr>
        <w:t xml:space="preserve">, </w:t>
      </w:r>
      <w:r w:rsidRPr="00E21B60">
        <w:rPr>
          <w:smallCaps/>
          <w:lang w:val="en-US"/>
        </w:rPr>
        <w:t>T. Mueller</w:t>
      </w:r>
      <w:r w:rsidRPr="00E21B60">
        <w:rPr>
          <w:lang w:val="en-US"/>
        </w:rPr>
        <w:t xml:space="preserve">, </w:t>
      </w:r>
      <w:r w:rsidRPr="00E21B60">
        <w:rPr>
          <w:smallCaps/>
          <w:lang w:val="en-US"/>
        </w:rPr>
        <w:t>D. Nandintsetseg</w:t>
      </w:r>
      <w:r w:rsidRPr="00E21B60">
        <w:rPr>
          <w:lang w:val="en-US"/>
        </w:rPr>
        <w:t xml:space="preserve">, </w:t>
      </w:r>
      <w:r w:rsidRPr="00E21B60">
        <w:rPr>
          <w:smallCaps/>
          <w:lang w:val="en-US"/>
        </w:rPr>
        <w:t>M. J. Noonan</w:t>
      </w:r>
      <w:r w:rsidRPr="00E21B60">
        <w:rPr>
          <w:lang w:val="en-US"/>
        </w:rPr>
        <w:t xml:space="preserve">, </w:t>
      </w:r>
      <w:r w:rsidRPr="00E21B60">
        <w:rPr>
          <w:smallCaps/>
          <w:lang w:val="en-US"/>
        </w:rPr>
        <w:t>K. A. Olson</w:t>
      </w:r>
      <w:r w:rsidRPr="00E21B60">
        <w:rPr>
          <w:lang w:val="en-US"/>
        </w:rPr>
        <w:t xml:space="preserve">, </w:t>
      </w:r>
      <w:r w:rsidRPr="00E21B60">
        <w:rPr>
          <w:smallCaps/>
          <w:lang w:val="en-US"/>
        </w:rPr>
        <w:t>E. Setyawan</w:t>
      </w:r>
      <w:r w:rsidRPr="00E21B60">
        <w:rPr>
          <w:lang w:val="en-US"/>
        </w:rPr>
        <w:t xml:space="preserve">, </w:t>
      </w:r>
      <w:r w:rsidRPr="00E21B60">
        <w:rPr>
          <w:smallCaps/>
          <w:lang w:val="en-US"/>
        </w:rPr>
        <w:t>A. Sianipar</w:t>
      </w:r>
      <w:r w:rsidRPr="00E21B60">
        <w:rPr>
          <w:lang w:val="en-US"/>
        </w:rPr>
        <w:t xml:space="preserve">, and </w:t>
      </w:r>
      <w:r w:rsidRPr="00E21B60">
        <w:rPr>
          <w:smallCaps/>
          <w:lang w:val="en-US"/>
        </w:rPr>
        <w:t>J. M. Calabrese</w:t>
      </w:r>
      <w:r w:rsidRPr="00E21B60">
        <w:rPr>
          <w:lang w:val="en-US"/>
        </w:rPr>
        <w:t>. 2018. Correcting for missing and irregular data in home‐range estimation. Ecol. Appl. 28: 1003–1010.</w:t>
      </w:r>
    </w:p>
    <w:p w14:paraId="21F1146C" w14:textId="77777777" w:rsidR="00E21B60" w:rsidRPr="00E21B60" w:rsidRDefault="00E21B60" w:rsidP="00E21B60">
      <w:pPr>
        <w:pStyle w:val="Bibliography"/>
        <w:rPr>
          <w:lang w:val="en-US"/>
        </w:rPr>
      </w:pPr>
      <w:r w:rsidRPr="00E21B60">
        <w:rPr>
          <w:smallCaps/>
          <w:lang w:val="en-US"/>
        </w:rPr>
        <w:t>Gaynor, K. M.</w:t>
      </w:r>
      <w:r w:rsidRPr="00E21B60">
        <w:rPr>
          <w:lang w:val="en-US"/>
        </w:rPr>
        <w:t xml:space="preserve">, </w:t>
      </w:r>
      <w:r w:rsidRPr="00E21B60">
        <w:rPr>
          <w:smallCaps/>
          <w:lang w:val="en-US"/>
        </w:rPr>
        <w:t>C. E. Hojnowski</w:t>
      </w:r>
      <w:r w:rsidRPr="00E21B60">
        <w:rPr>
          <w:lang w:val="en-US"/>
        </w:rPr>
        <w:t xml:space="preserve">, </w:t>
      </w:r>
      <w:r w:rsidRPr="00E21B60">
        <w:rPr>
          <w:smallCaps/>
          <w:lang w:val="en-US"/>
        </w:rPr>
        <w:t>N. H. Carter</w:t>
      </w:r>
      <w:r w:rsidRPr="00E21B60">
        <w:rPr>
          <w:lang w:val="en-US"/>
        </w:rPr>
        <w:t xml:space="preserve">, and </w:t>
      </w:r>
      <w:r w:rsidRPr="00E21B60">
        <w:rPr>
          <w:smallCaps/>
          <w:lang w:val="en-US"/>
        </w:rPr>
        <w:t>J. S. Brashares</w:t>
      </w:r>
      <w:r w:rsidRPr="00E21B60">
        <w:rPr>
          <w:lang w:val="en-US"/>
        </w:rPr>
        <w:t>. 2018. The influence of human disturbance on wildlife nocturnality. Science 360: 1232–1235.</w:t>
      </w:r>
    </w:p>
    <w:p w14:paraId="38A9304D" w14:textId="77777777" w:rsidR="00E21B60" w:rsidRPr="00E21B60" w:rsidRDefault="00E21B60" w:rsidP="00E21B60">
      <w:pPr>
        <w:pStyle w:val="Bibliography"/>
        <w:rPr>
          <w:lang w:val="en-US"/>
        </w:rPr>
      </w:pPr>
      <w:r w:rsidRPr="00E21B60">
        <w:rPr>
          <w:smallCaps/>
          <w:lang w:val="en-US"/>
        </w:rPr>
        <w:t>Harmsen, B. J.</w:t>
      </w:r>
      <w:r w:rsidRPr="00E21B60">
        <w:rPr>
          <w:lang w:val="en-US"/>
        </w:rPr>
        <w:t xml:space="preserve">, </w:t>
      </w:r>
      <w:r w:rsidRPr="00E21B60">
        <w:rPr>
          <w:smallCaps/>
          <w:lang w:val="en-US"/>
        </w:rPr>
        <w:t>R. J. Foster</w:t>
      </w:r>
      <w:r w:rsidRPr="00E21B60">
        <w:rPr>
          <w:lang w:val="en-US"/>
        </w:rPr>
        <w:t xml:space="preserve">, </w:t>
      </w:r>
      <w:r w:rsidRPr="00E21B60">
        <w:rPr>
          <w:smallCaps/>
          <w:lang w:val="en-US"/>
        </w:rPr>
        <w:t>S. C. Silver</w:t>
      </w:r>
      <w:r w:rsidRPr="00E21B60">
        <w:rPr>
          <w:lang w:val="en-US"/>
        </w:rPr>
        <w:t xml:space="preserve">, </w:t>
      </w:r>
      <w:r w:rsidRPr="00E21B60">
        <w:rPr>
          <w:smallCaps/>
          <w:lang w:val="en-US"/>
        </w:rPr>
        <w:t>L. E. T. Ostro</w:t>
      </w:r>
      <w:r w:rsidRPr="00E21B60">
        <w:rPr>
          <w:lang w:val="en-US"/>
        </w:rPr>
        <w:t xml:space="preserve">, and </w:t>
      </w:r>
      <w:r w:rsidRPr="00E21B60">
        <w:rPr>
          <w:smallCaps/>
          <w:lang w:val="en-US"/>
        </w:rPr>
        <w:t>C. P. Doncaster</w:t>
      </w:r>
      <w:r w:rsidRPr="00E21B60">
        <w:rPr>
          <w:lang w:val="en-US"/>
        </w:rPr>
        <w:t xml:space="preserve">. 2010. The ecology of jaguars in the Cockscomb Basin Wildlife Sanctuary, Belize. </w:t>
      </w:r>
      <w:r w:rsidRPr="00E21B60">
        <w:rPr>
          <w:i/>
          <w:iCs/>
          <w:lang w:val="en-US"/>
        </w:rPr>
        <w:t>In</w:t>
      </w:r>
      <w:r w:rsidRPr="00E21B60">
        <w:rPr>
          <w:lang w:val="en-US"/>
        </w:rPr>
        <w:t xml:space="preserve"> D. W. Macdonald and A. J. Loveridge (Eds.) pp. 403–416, Oxford University Press. Available at: https://eprints.soton.ac.uk/169289/ [Accessed July 7, 2025].</w:t>
      </w:r>
    </w:p>
    <w:p w14:paraId="4DAED53C" w14:textId="77777777" w:rsidR="00E21B60" w:rsidRPr="00E21B60" w:rsidRDefault="00E21B60" w:rsidP="00E21B60">
      <w:pPr>
        <w:pStyle w:val="Bibliography"/>
        <w:rPr>
          <w:lang w:val="en-US"/>
        </w:rPr>
      </w:pPr>
      <w:r w:rsidRPr="00E21B60">
        <w:rPr>
          <w:smallCaps/>
          <w:lang w:val="en-US"/>
        </w:rPr>
        <w:t>Hayward, M. W.</w:t>
      </w:r>
      <w:r w:rsidRPr="00E21B60">
        <w:rPr>
          <w:lang w:val="en-US"/>
        </w:rPr>
        <w:t xml:space="preserve">, </w:t>
      </w:r>
      <w:r w:rsidRPr="00E21B60">
        <w:rPr>
          <w:smallCaps/>
          <w:lang w:val="en-US"/>
        </w:rPr>
        <w:t>J. F. Kamler</w:t>
      </w:r>
      <w:r w:rsidRPr="00E21B60">
        <w:rPr>
          <w:lang w:val="en-US"/>
        </w:rPr>
        <w:t xml:space="preserve">, </w:t>
      </w:r>
      <w:r w:rsidRPr="00E21B60">
        <w:rPr>
          <w:smallCaps/>
          <w:lang w:val="en-US"/>
        </w:rPr>
        <w:t>R. A. Montgomery</w:t>
      </w:r>
      <w:r w:rsidRPr="00E21B60">
        <w:rPr>
          <w:lang w:val="en-US"/>
        </w:rPr>
        <w:t xml:space="preserve">, </w:t>
      </w:r>
      <w:r w:rsidRPr="00E21B60">
        <w:rPr>
          <w:smallCaps/>
          <w:lang w:val="en-US"/>
        </w:rPr>
        <w:t>A. Newlove</w:t>
      </w:r>
      <w:r w:rsidRPr="00E21B60">
        <w:rPr>
          <w:lang w:val="en-US"/>
        </w:rPr>
        <w:t xml:space="preserve">, </w:t>
      </w:r>
      <w:r w:rsidRPr="00E21B60">
        <w:rPr>
          <w:smallCaps/>
          <w:lang w:val="en-US"/>
        </w:rPr>
        <w:t>S. Rostro-García</w:t>
      </w:r>
      <w:r w:rsidRPr="00E21B60">
        <w:rPr>
          <w:lang w:val="en-US"/>
        </w:rPr>
        <w:t xml:space="preserve">, </w:t>
      </w:r>
      <w:r w:rsidRPr="00E21B60">
        <w:rPr>
          <w:smallCaps/>
          <w:lang w:val="en-US"/>
        </w:rPr>
        <w:t>L. P. Sales</w:t>
      </w:r>
      <w:r w:rsidRPr="00E21B60">
        <w:rPr>
          <w:lang w:val="en-US"/>
        </w:rPr>
        <w:t xml:space="preserve">, and </w:t>
      </w:r>
      <w:r w:rsidRPr="00E21B60">
        <w:rPr>
          <w:smallCaps/>
          <w:lang w:val="en-US"/>
        </w:rPr>
        <w:t>B. Van Valkenburgh</w:t>
      </w:r>
      <w:r w:rsidRPr="00E21B60">
        <w:rPr>
          <w:lang w:val="en-US"/>
        </w:rPr>
        <w:t>. 2016. Prey Preferences of the Jaguar Panthera onca Reflect the Post-Pleistocene Demise of Large Prey. Front. Ecol. Evol. 3. Available at: http://journal.frontiersin.org/Article/10.3389/fevo.2015.00148/abstract [Accessed July 7, 2025].</w:t>
      </w:r>
    </w:p>
    <w:p w14:paraId="473741C7" w14:textId="77777777" w:rsidR="00E21B60" w:rsidRPr="00E21B60" w:rsidRDefault="00E21B60" w:rsidP="00E21B60">
      <w:pPr>
        <w:pStyle w:val="Bibliography"/>
        <w:rPr>
          <w:lang w:val="en-US"/>
        </w:rPr>
      </w:pPr>
      <w:r w:rsidRPr="00E21B60">
        <w:rPr>
          <w:smallCaps/>
          <w:lang w:val="en-US"/>
        </w:rPr>
        <w:t>Hijmans, R. J.</w:t>
      </w:r>
      <w:r w:rsidRPr="00E21B60">
        <w:rPr>
          <w:lang w:val="en-US"/>
        </w:rPr>
        <w:t xml:space="preserve"> 2020. terra: Spatial Data Analysis. 1.8-54. Available at: https://CRAN.R-project.org/package=terra [Accessed June 26, 2025].</w:t>
      </w:r>
    </w:p>
    <w:p w14:paraId="2DE3471C" w14:textId="77777777" w:rsidR="00E21B60" w:rsidRPr="00E21B60" w:rsidRDefault="00E21B60" w:rsidP="00E21B60">
      <w:pPr>
        <w:pStyle w:val="Bibliography"/>
        <w:rPr>
          <w:lang w:val="en-US"/>
        </w:rPr>
      </w:pPr>
      <w:r w:rsidRPr="00E21B60">
        <w:rPr>
          <w:smallCaps/>
          <w:lang w:val="en-US"/>
        </w:rPr>
        <w:t>Hollins, J. P. W.</w:t>
      </w:r>
      <w:r w:rsidRPr="00E21B60">
        <w:rPr>
          <w:lang w:val="en-US"/>
        </w:rPr>
        <w:t xml:space="preserve">, </w:t>
      </w:r>
      <w:r w:rsidRPr="00E21B60">
        <w:rPr>
          <w:smallCaps/>
          <w:lang w:val="en-US"/>
        </w:rPr>
        <w:t>C. H. Fleming</w:t>
      </w:r>
      <w:r w:rsidRPr="00E21B60">
        <w:rPr>
          <w:lang w:val="en-US"/>
        </w:rPr>
        <w:t xml:space="preserve">, </w:t>
      </w:r>
      <w:r w:rsidRPr="00E21B60">
        <w:rPr>
          <w:smallCaps/>
          <w:lang w:val="en-US"/>
        </w:rPr>
        <w:t>J. M. Calabrese</w:t>
      </w:r>
      <w:r w:rsidRPr="00E21B60">
        <w:rPr>
          <w:lang w:val="en-US"/>
        </w:rPr>
        <w:t xml:space="preserve">, </w:t>
      </w:r>
      <w:r w:rsidRPr="00E21B60">
        <w:rPr>
          <w:smallCaps/>
          <w:lang w:val="en-US"/>
        </w:rPr>
        <w:t>L. N. Harris</w:t>
      </w:r>
      <w:r w:rsidRPr="00E21B60">
        <w:rPr>
          <w:lang w:val="en-US"/>
        </w:rPr>
        <w:t xml:space="preserve">, </w:t>
      </w:r>
      <w:r w:rsidRPr="00E21B60">
        <w:rPr>
          <w:smallCaps/>
          <w:lang w:val="en-US"/>
        </w:rPr>
        <w:t>J. S. Moore</w:t>
      </w:r>
      <w:r w:rsidRPr="00E21B60">
        <w:rPr>
          <w:lang w:val="en-US"/>
        </w:rPr>
        <w:t xml:space="preserve">, </w:t>
      </w:r>
      <w:r w:rsidRPr="00E21B60">
        <w:rPr>
          <w:smallCaps/>
          <w:lang w:val="en-US"/>
        </w:rPr>
        <w:t>B. K. Malley</w:t>
      </w:r>
      <w:r w:rsidRPr="00E21B60">
        <w:rPr>
          <w:lang w:val="en-US"/>
        </w:rPr>
        <w:t xml:space="preserve">, </w:t>
      </w:r>
      <w:r w:rsidRPr="00E21B60">
        <w:rPr>
          <w:smallCaps/>
          <w:lang w:val="en-US"/>
        </w:rPr>
        <w:t>M. J. Noonan</w:t>
      </w:r>
      <w:r w:rsidRPr="00E21B60">
        <w:rPr>
          <w:lang w:val="en-US"/>
        </w:rPr>
        <w:t xml:space="preserve">, </w:t>
      </w:r>
      <w:r w:rsidRPr="00E21B60">
        <w:rPr>
          <w:smallCaps/>
          <w:lang w:val="en-US"/>
        </w:rPr>
        <w:t>W. F. Fagan</w:t>
      </w:r>
      <w:r w:rsidRPr="00E21B60">
        <w:rPr>
          <w:lang w:val="en-US"/>
        </w:rPr>
        <w:t xml:space="preserve">, </w:t>
      </w:r>
      <w:r w:rsidRPr="00E21B60">
        <w:rPr>
          <w:smallCaps/>
          <w:lang w:val="en-US"/>
        </w:rPr>
        <w:t>J. M. Alston</w:t>
      </w:r>
      <w:r w:rsidRPr="00E21B60">
        <w:rPr>
          <w:lang w:val="en-US"/>
        </w:rPr>
        <w:t xml:space="preserve">, and </w:t>
      </w:r>
      <w:r w:rsidRPr="00E21B60">
        <w:rPr>
          <w:smallCaps/>
          <w:lang w:val="en-US"/>
        </w:rPr>
        <w:t>N. E. Hussey</w:t>
      </w:r>
      <w:r w:rsidRPr="00E21B60">
        <w:rPr>
          <w:lang w:val="en-US"/>
        </w:rPr>
        <w:t>. 2025. Home‐range spillover in habitats with impassable boundaries: Causes, biases and corrections using autocorrelated kernel density estimation. Methods Ecol. Evol. 16: 2945–2959.</w:t>
      </w:r>
    </w:p>
    <w:p w14:paraId="032BD285" w14:textId="77777777" w:rsidR="00E21B60" w:rsidRPr="00E21B60" w:rsidRDefault="00E21B60" w:rsidP="00E21B60">
      <w:pPr>
        <w:pStyle w:val="Bibliography"/>
        <w:rPr>
          <w:lang w:val="en-US"/>
        </w:rPr>
      </w:pPr>
      <w:r w:rsidRPr="00E21B60">
        <w:rPr>
          <w:smallCaps/>
          <w:lang w:val="en-US"/>
        </w:rPr>
        <w:t>Hunter, L.</w:t>
      </w:r>
      <w:r w:rsidRPr="00E21B60">
        <w:rPr>
          <w:lang w:val="en-US"/>
        </w:rPr>
        <w:t xml:space="preserve"> 2018. Field Guide to Carnivores of the World, 2nd Edition. Bloomsbury Publishing Plc, London.</w:t>
      </w:r>
    </w:p>
    <w:p w14:paraId="4337E785" w14:textId="77777777" w:rsidR="00E21B60" w:rsidRPr="00E21B60" w:rsidRDefault="00E21B60" w:rsidP="00E21B60">
      <w:pPr>
        <w:pStyle w:val="Bibliography"/>
        <w:rPr>
          <w:lang w:val="en-US"/>
        </w:rPr>
      </w:pPr>
      <w:r w:rsidRPr="00E21B60">
        <w:rPr>
          <w:smallCaps/>
          <w:lang w:val="en-US"/>
        </w:rPr>
        <w:t>IUCN</w:t>
      </w:r>
      <w:r w:rsidRPr="00E21B60">
        <w:rPr>
          <w:lang w:val="en-US"/>
        </w:rPr>
        <w:t>. 2016. Panthera onca: Quigley, H., Foster, R., Petracca, L., Payan, E., Salom, R. &amp; Harmsen, B.: The IUCN Red List of Threatened Species 2017: e.T15953A123791436. Available at: https://www.iucnredlist.org/species/15953/123791436 [Accessed July 7, 2025].</w:t>
      </w:r>
    </w:p>
    <w:p w14:paraId="52B9C3CB" w14:textId="77777777" w:rsidR="00E21B60" w:rsidRPr="00E21B60" w:rsidRDefault="00E21B60" w:rsidP="00E21B60">
      <w:pPr>
        <w:pStyle w:val="Bibliography"/>
        <w:rPr>
          <w:lang w:val="en-US"/>
        </w:rPr>
      </w:pPr>
      <w:r w:rsidRPr="00E21B60">
        <w:rPr>
          <w:smallCaps/>
          <w:lang w:val="en-US"/>
        </w:rPr>
        <w:t>Jędrzejewski, W. et al.</w:t>
      </w:r>
      <w:r w:rsidRPr="00E21B60">
        <w:rPr>
          <w:lang w:val="en-US"/>
        </w:rPr>
        <w:t xml:space="preserve"> 2017. Predicting carnivore distribution and extirpation rate based on human impacts and productivity factors; assessment of the state of jaguar (Panthera onca) in Venezuela. Biol. Conserv. 206: 132–142.</w:t>
      </w:r>
    </w:p>
    <w:p w14:paraId="3B99117F" w14:textId="77777777" w:rsidR="00E21B60" w:rsidRPr="00E21B60" w:rsidRDefault="00E21B60" w:rsidP="00E21B60">
      <w:pPr>
        <w:pStyle w:val="Bibliography"/>
        <w:rPr>
          <w:lang w:val="en-US"/>
        </w:rPr>
      </w:pPr>
      <w:r w:rsidRPr="00E21B60">
        <w:rPr>
          <w:smallCaps/>
          <w:lang w:val="en-US"/>
        </w:rPr>
        <w:lastRenderedPageBreak/>
        <w:t>Jędrzejewski, W. et al.</w:t>
      </w:r>
      <w:r w:rsidRPr="00E21B60">
        <w:rPr>
          <w:lang w:val="en-US"/>
        </w:rPr>
        <w:t xml:space="preserve"> 2018. Estimating large carnivore populations at global scale based on spatial predictions of density and distribution – Application to the jaguar (Panthera onca) C. A. Hagen (Ed.). PLOS ONE 13: e0194719.</w:t>
      </w:r>
    </w:p>
    <w:p w14:paraId="7A410B4D" w14:textId="77777777" w:rsidR="00E21B60" w:rsidRPr="00E21B60" w:rsidRDefault="00E21B60" w:rsidP="00E21B60">
      <w:pPr>
        <w:pStyle w:val="Bibliography"/>
        <w:rPr>
          <w:lang w:val="en-US"/>
        </w:rPr>
      </w:pPr>
      <w:r w:rsidRPr="00E21B60">
        <w:rPr>
          <w:smallCaps/>
          <w:lang w:val="en-US"/>
        </w:rPr>
        <w:t>Jędrzejewski, W.</w:t>
      </w:r>
      <w:r w:rsidRPr="00E21B60">
        <w:rPr>
          <w:lang w:val="en-US"/>
        </w:rPr>
        <w:t xml:space="preserve">, </w:t>
      </w:r>
      <w:r w:rsidRPr="00E21B60">
        <w:rPr>
          <w:smallCaps/>
          <w:lang w:val="en-US"/>
        </w:rPr>
        <w:t>R. Hoogesteijn</w:t>
      </w:r>
      <w:r w:rsidRPr="00E21B60">
        <w:rPr>
          <w:lang w:val="en-US"/>
        </w:rPr>
        <w:t xml:space="preserve">, </w:t>
      </w:r>
      <w:r w:rsidRPr="00E21B60">
        <w:rPr>
          <w:smallCaps/>
          <w:lang w:val="en-US"/>
        </w:rPr>
        <w:t>A. L. Devlin</w:t>
      </w:r>
      <w:r w:rsidRPr="00E21B60">
        <w:rPr>
          <w:lang w:val="en-US"/>
        </w:rPr>
        <w:t xml:space="preserve">, </w:t>
      </w:r>
      <w:r w:rsidRPr="00E21B60">
        <w:rPr>
          <w:smallCaps/>
          <w:lang w:val="en-US"/>
        </w:rPr>
        <w:t>F. Tortato</w:t>
      </w:r>
      <w:r w:rsidRPr="00E21B60">
        <w:rPr>
          <w:lang w:val="en-US"/>
        </w:rPr>
        <w:t xml:space="preserve">, </w:t>
      </w:r>
      <w:r w:rsidRPr="00E21B60">
        <w:rPr>
          <w:smallCaps/>
          <w:lang w:val="en-US"/>
        </w:rPr>
        <w:t>H. V. B. Concone</w:t>
      </w:r>
      <w:r w:rsidRPr="00E21B60">
        <w:rPr>
          <w:lang w:val="en-US"/>
        </w:rPr>
        <w:t xml:space="preserve">, </w:t>
      </w:r>
      <w:r w:rsidRPr="00E21B60">
        <w:rPr>
          <w:smallCaps/>
          <w:lang w:val="en-US"/>
        </w:rPr>
        <w:t>F. Azevedo</w:t>
      </w:r>
      <w:r w:rsidRPr="00E21B60">
        <w:rPr>
          <w:lang w:val="en-US"/>
        </w:rPr>
        <w:t xml:space="preserve">, </w:t>
      </w:r>
      <w:r w:rsidRPr="00E21B60">
        <w:rPr>
          <w:smallCaps/>
          <w:lang w:val="en-US"/>
        </w:rPr>
        <w:t>C. E. Eriksson</w:t>
      </w:r>
      <w:r w:rsidRPr="00E21B60">
        <w:rPr>
          <w:lang w:val="en-US"/>
        </w:rPr>
        <w:t xml:space="preserve">, </w:t>
      </w:r>
      <w:r w:rsidRPr="00E21B60">
        <w:rPr>
          <w:smallCaps/>
          <w:lang w:val="en-US"/>
        </w:rPr>
        <w:t>C. E. Fragoso</w:t>
      </w:r>
      <w:r w:rsidRPr="00E21B60">
        <w:rPr>
          <w:lang w:val="en-US"/>
        </w:rPr>
        <w:t xml:space="preserve">, </w:t>
      </w:r>
      <w:r w:rsidRPr="00E21B60">
        <w:rPr>
          <w:smallCaps/>
          <w:lang w:val="en-US"/>
        </w:rPr>
        <w:t>M. Abarca</w:t>
      </w:r>
      <w:r w:rsidRPr="00E21B60">
        <w:rPr>
          <w:lang w:val="en-US"/>
        </w:rPr>
        <w:t xml:space="preserve">, </w:t>
      </w:r>
      <w:r w:rsidRPr="00E21B60">
        <w:rPr>
          <w:smallCaps/>
          <w:lang w:val="en-US"/>
        </w:rPr>
        <w:t>R. G. Morato</w:t>
      </w:r>
      <w:r w:rsidRPr="00E21B60">
        <w:rPr>
          <w:lang w:val="en-US"/>
        </w:rPr>
        <w:t xml:space="preserve">, </w:t>
      </w:r>
      <w:r w:rsidRPr="00E21B60">
        <w:rPr>
          <w:smallCaps/>
          <w:lang w:val="en-US"/>
        </w:rPr>
        <w:t>A. J. Giordano</w:t>
      </w:r>
      <w:r w:rsidRPr="00E21B60">
        <w:rPr>
          <w:lang w:val="en-US"/>
        </w:rPr>
        <w:t xml:space="preserve">, </w:t>
      </w:r>
      <w:r w:rsidRPr="00E21B60">
        <w:rPr>
          <w:smallCaps/>
          <w:lang w:val="en-US"/>
        </w:rPr>
        <w:t>A. Hoogesteijn</w:t>
      </w:r>
      <w:r w:rsidRPr="00E21B60">
        <w:rPr>
          <w:lang w:val="en-US"/>
        </w:rPr>
        <w:t xml:space="preserve">, </w:t>
      </w:r>
      <w:r w:rsidRPr="00E21B60">
        <w:rPr>
          <w:smallCaps/>
          <w:lang w:val="en-US"/>
        </w:rPr>
        <w:t>L. Rampim</w:t>
      </w:r>
      <w:r w:rsidRPr="00E21B60">
        <w:rPr>
          <w:lang w:val="en-US"/>
        </w:rPr>
        <w:t xml:space="preserve">, </w:t>
      </w:r>
      <w:r w:rsidRPr="00E21B60">
        <w:rPr>
          <w:smallCaps/>
          <w:lang w:val="en-US"/>
        </w:rPr>
        <w:t>G. Gamarra</w:t>
      </w:r>
      <w:r w:rsidRPr="00E21B60">
        <w:rPr>
          <w:lang w:val="en-US"/>
        </w:rPr>
        <w:t xml:space="preserve">, </w:t>
      </w:r>
      <w:r w:rsidRPr="00E21B60">
        <w:rPr>
          <w:smallCaps/>
          <w:lang w:val="en-US"/>
        </w:rPr>
        <w:t>R. Carreño</w:t>
      </w:r>
      <w:r w:rsidRPr="00E21B60">
        <w:rPr>
          <w:lang w:val="en-US"/>
        </w:rPr>
        <w:t xml:space="preserve">, </w:t>
      </w:r>
      <w:r w:rsidRPr="00E21B60">
        <w:rPr>
          <w:smallCaps/>
          <w:lang w:val="en-US"/>
        </w:rPr>
        <w:t>G. Velásquez</w:t>
      </w:r>
      <w:r w:rsidRPr="00E21B60">
        <w:rPr>
          <w:lang w:val="en-US"/>
        </w:rPr>
        <w:t xml:space="preserve">, and </w:t>
      </w:r>
      <w:r w:rsidRPr="00E21B60">
        <w:rPr>
          <w:smallCaps/>
          <w:lang w:val="en-US"/>
        </w:rPr>
        <w:t>K. Schmidt</w:t>
      </w:r>
      <w:r w:rsidRPr="00E21B60">
        <w:rPr>
          <w:lang w:val="en-US"/>
        </w:rPr>
        <w:t>. 2022. Collaborative behaviour and coalitions in male jaguars (Panthera onca)—evidence and comparison with other felids. Behav. Ecol. Sociobiol. 76: 121.</w:t>
      </w:r>
    </w:p>
    <w:p w14:paraId="2C5B84D5" w14:textId="77777777" w:rsidR="00E21B60" w:rsidRPr="00E21B60" w:rsidRDefault="00E21B60" w:rsidP="00E21B60">
      <w:pPr>
        <w:pStyle w:val="Bibliography"/>
        <w:rPr>
          <w:lang w:val="en-US"/>
        </w:rPr>
      </w:pPr>
      <w:r w:rsidRPr="00E21B60">
        <w:rPr>
          <w:smallCaps/>
          <w:lang w:val="en-US"/>
        </w:rPr>
        <w:t>Jędrzejewski, W.</w:t>
      </w:r>
      <w:r w:rsidRPr="00E21B60">
        <w:rPr>
          <w:lang w:val="en-US"/>
        </w:rPr>
        <w:t xml:space="preserve">, </w:t>
      </w:r>
      <w:r w:rsidRPr="00E21B60">
        <w:rPr>
          <w:smallCaps/>
          <w:lang w:val="en-US"/>
        </w:rPr>
        <w:t>I. Vivas</w:t>
      </w:r>
      <w:r w:rsidRPr="00E21B60">
        <w:rPr>
          <w:lang w:val="en-US"/>
        </w:rPr>
        <w:t xml:space="preserve">, </w:t>
      </w:r>
      <w:r w:rsidRPr="00E21B60">
        <w:rPr>
          <w:smallCaps/>
          <w:lang w:val="en-US"/>
        </w:rPr>
        <w:t>M. Abarca</w:t>
      </w:r>
      <w:r w:rsidRPr="00E21B60">
        <w:rPr>
          <w:lang w:val="en-US"/>
        </w:rPr>
        <w:t xml:space="preserve">, </w:t>
      </w:r>
      <w:r w:rsidRPr="00E21B60">
        <w:rPr>
          <w:smallCaps/>
          <w:lang w:val="en-US"/>
        </w:rPr>
        <w:t>M. Lampo</w:t>
      </w:r>
      <w:r w:rsidRPr="00E21B60">
        <w:rPr>
          <w:lang w:val="en-US"/>
        </w:rPr>
        <w:t xml:space="preserve">, </w:t>
      </w:r>
      <w:r w:rsidRPr="00E21B60">
        <w:rPr>
          <w:smallCaps/>
          <w:lang w:val="en-US"/>
        </w:rPr>
        <w:t>L. G. Morales</w:t>
      </w:r>
      <w:r w:rsidRPr="00E21B60">
        <w:rPr>
          <w:lang w:val="en-US"/>
        </w:rPr>
        <w:t xml:space="preserve">, </w:t>
      </w:r>
      <w:r w:rsidRPr="00E21B60">
        <w:rPr>
          <w:smallCaps/>
          <w:lang w:val="en-US"/>
        </w:rPr>
        <w:t>G. Gamarra</w:t>
      </w:r>
      <w:r w:rsidRPr="00E21B60">
        <w:rPr>
          <w:lang w:val="en-US"/>
        </w:rPr>
        <w:t xml:space="preserve">, </w:t>
      </w:r>
      <w:r w:rsidRPr="00E21B60">
        <w:rPr>
          <w:smallCaps/>
          <w:lang w:val="en-US"/>
        </w:rPr>
        <w:t>K. Schmidt</w:t>
      </w:r>
      <w:r w:rsidRPr="00E21B60">
        <w:rPr>
          <w:lang w:val="en-US"/>
        </w:rPr>
        <w:t xml:space="preserve">, </w:t>
      </w:r>
      <w:r w:rsidRPr="00E21B60">
        <w:rPr>
          <w:smallCaps/>
          <w:lang w:val="en-US"/>
        </w:rPr>
        <w:t>R. Hoogesteijn</w:t>
      </w:r>
      <w:r w:rsidRPr="00E21B60">
        <w:rPr>
          <w:lang w:val="en-US"/>
        </w:rPr>
        <w:t xml:space="preserve">, </w:t>
      </w:r>
      <w:r w:rsidRPr="00E21B60">
        <w:rPr>
          <w:smallCaps/>
          <w:lang w:val="en-US"/>
        </w:rPr>
        <w:t>R. Carreño</w:t>
      </w:r>
      <w:r w:rsidRPr="00E21B60">
        <w:rPr>
          <w:lang w:val="en-US"/>
        </w:rPr>
        <w:t xml:space="preserve">, </w:t>
      </w:r>
      <w:r w:rsidRPr="00E21B60">
        <w:rPr>
          <w:smallCaps/>
          <w:lang w:val="en-US"/>
        </w:rPr>
        <w:t>M. F. Puerto</w:t>
      </w:r>
      <w:r w:rsidRPr="00E21B60">
        <w:rPr>
          <w:lang w:val="en-US"/>
        </w:rPr>
        <w:t xml:space="preserve">, </w:t>
      </w:r>
      <w:r w:rsidRPr="00E21B60">
        <w:rPr>
          <w:smallCaps/>
          <w:lang w:val="en-US"/>
        </w:rPr>
        <w:t>Á. L. Viloria</w:t>
      </w:r>
      <w:r w:rsidRPr="00E21B60">
        <w:rPr>
          <w:lang w:val="en-US"/>
        </w:rPr>
        <w:t xml:space="preserve">, </w:t>
      </w:r>
      <w:r w:rsidRPr="00E21B60">
        <w:rPr>
          <w:smallCaps/>
          <w:lang w:val="en-US"/>
        </w:rPr>
        <w:t>C. Breitenmoser</w:t>
      </w:r>
      <w:r w:rsidRPr="00E21B60">
        <w:rPr>
          <w:lang w:val="en-US"/>
        </w:rPr>
        <w:t xml:space="preserve">, and </w:t>
      </w:r>
      <w:r w:rsidRPr="00E21B60">
        <w:rPr>
          <w:smallCaps/>
          <w:lang w:val="en-US"/>
        </w:rPr>
        <w:t>U. Breitenmoser</w:t>
      </w:r>
      <w:r w:rsidRPr="00E21B60">
        <w:rPr>
          <w:lang w:val="en-US"/>
        </w:rPr>
        <w:t>. 2021. Effect of sex, age, and reproductive status on daily activity levels and activity patterns in jaguars (Panthera onca). Mammal Res. 66: 531–539.</w:t>
      </w:r>
    </w:p>
    <w:p w14:paraId="4E039C98" w14:textId="77777777" w:rsidR="00E21B60" w:rsidRPr="00E21B60" w:rsidRDefault="00E21B60" w:rsidP="00E21B60">
      <w:pPr>
        <w:pStyle w:val="Bibliography"/>
        <w:rPr>
          <w:lang w:val="en-US"/>
        </w:rPr>
      </w:pPr>
      <w:r w:rsidRPr="00E21B60">
        <w:rPr>
          <w:smallCaps/>
          <w:lang w:val="en-US"/>
        </w:rPr>
        <w:t>Jones, J. K.</w:t>
      </w:r>
      <w:r w:rsidRPr="00E21B60">
        <w:rPr>
          <w:lang w:val="en-US"/>
        </w:rPr>
        <w:t xml:space="preserve"> 1982. Hall, E. R. THE MAMMALS OF NORTH AMERICA. 2nd ed. John Wiley and Sons, New York, 1:xv + 1-600 + 90 and 2:vi + 601-1181 + 90, illustrated. 1981. $80.00. J. Mammal. 63: 717–717.</w:t>
      </w:r>
    </w:p>
    <w:p w14:paraId="7B9B5C6A" w14:textId="77777777" w:rsidR="00E21B60" w:rsidRPr="00E21B60" w:rsidRDefault="00E21B60" w:rsidP="00E21B60">
      <w:pPr>
        <w:pStyle w:val="Bibliography"/>
        <w:rPr>
          <w:lang w:val="en-US"/>
        </w:rPr>
      </w:pPr>
      <w:r w:rsidRPr="00E21B60">
        <w:rPr>
          <w:smallCaps/>
          <w:lang w:val="en-US"/>
        </w:rPr>
        <w:t>Kanda, C. Z.</w:t>
      </w:r>
      <w:r w:rsidRPr="00E21B60">
        <w:rPr>
          <w:lang w:val="en-US"/>
        </w:rPr>
        <w:t xml:space="preserve">, </w:t>
      </w:r>
      <w:r w:rsidRPr="00E21B60">
        <w:rPr>
          <w:smallCaps/>
          <w:lang w:val="en-US"/>
        </w:rPr>
        <w:t>L. G. R. Oliveira‐Santos</w:t>
      </w:r>
      <w:r w:rsidRPr="00E21B60">
        <w:rPr>
          <w:lang w:val="en-US"/>
        </w:rPr>
        <w:t xml:space="preserve">, </w:t>
      </w:r>
      <w:r w:rsidRPr="00E21B60">
        <w:rPr>
          <w:smallCaps/>
          <w:lang w:val="en-US"/>
        </w:rPr>
        <w:t>R. G. Morato</w:t>
      </w:r>
      <w:r w:rsidRPr="00E21B60">
        <w:rPr>
          <w:lang w:val="en-US"/>
        </w:rPr>
        <w:t xml:space="preserve">, </w:t>
      </w:r>
      <w:r w:rsidRPr="00E21B60">
        <w:rPr>
          <w:smallCaps/>
          <w:lang w:val="en-US"/>
        </w:rPr>
        <w:t>R. C. De Paula</w:t>
      </w:r>
      <w:r w:rsidRPr="00E21B60">
        <w:rPr>
          <w:lang w:val="en-US"/>
        </w:rPr>
        <w:t xml:space="preserve">, </w:t>
      </w:r>
      <w:r w:rsidRPr="00E21B60">
        <w:rPr>
          <w:smallCaps/>
          <w:lang w:val="en-US"/>
        </w:rPr>
        <w:t>L. E. Rampim</w:t>
      </w:r>
      <w:r w:rsidRPr="00E21B60">
        <w:rPr>
          <w:lang w:val="en-US"/>
        </w:rPr>
        <w:t xml:space="preserve">, </w:t>
      </w:r>
      <w:r w:rsidRPr="00E21B60">
        <w:rPr>
          <w:smallCaps/>
          <w:lang w:val="en-US"/>
        </w:rPr>
        <w:t>L. Sartorello</w:t>
      </w:r>
      <w:r w:rsidRPr="00E21B60">
        <w:rPr>
          <w:lang w:val="en-US"/>
        </w:rPr>
        <w:t xml:space="preserve">, </w:t>
      </w:r>
      <w:r w:rsidRPr="00E21B60">
        <w:rPr>
          <w:smallCaps/>
          <w:lang w:val="en-US"/>
        </w:rPr>
        <w:t>M. Haberfeld</w:t>
      </w:r>
      <w:r w:rsidRPr="00E21B60">
        <w:rPr>
          <w:lang w:val="en-US"/>
        </w:rPr>
        <w:t xml:space="preserve">, </w:t>
      </w:r>
      <w:r w:rsidRPr="00E21B60">
        <w:rPr>
          <w:smallCaps/>
          <w:lang w:val="en-US"/>
        </w:rPr>
        <w:t>M. Galetti</w:t>
      </w:r>
      <w:r w:rsidRPr="00E21B60">
        <w:rPr>
          <w:lang w:val="en-US"/>
        </w:rPr>
        <w:t xml:space="preserve">, and </w:t>
      </w:r>
      <w:r w:rsidRPr="00E21B60">
        <w:rPr>
          <w:smallCaps/>
          <w:lang w:val="en-US"/>
        </w:rPr>
        <w:t>M. Cezar Ribeiro</w:t>
      </w:r>
      <w:r w:rsidRPr="00E21B60">
        <w:rPr>
          <w:lang w:val="en-US"/>
        </w:rPr>
        <w:t>. 2019. Spatiotemporal dynamics of conspecific movement explain a solitary carnivore’s space use. J. Zool. 308: 66–74.</w:t>
      </w:r>
    </w:p>
    <w:p w14:paraId="12354F9D" w14:textId="77777777" w:rsidR="00E21B60" w:rsidRPr="00E21B60" w:rsidRDefault="00E21B60" w:rsidP="00E21B60">
      <w:pPr>
        <w:pStyle w:val="Bibliography"/>
        <w:rPr>
          <w:lang w:val="en-US"/>
        </w:rPr>
      </w:pPr>
      <w:r w:rsidRPr="00E21B60">
        <w:rPr>
          <w:smallCaps/>
          <w:lang w:val="en-US"/>
        </w:rPr>
        <w:t>Klappstein, N. J.</w:t>
      </w:r>
      <w:r w:rsidRPr="00E21B60">
        <w:rPr>
          <w:lang w:val="en-US"/>
        </w:rPr>
        <w:t xml:space="preserve">, </w:t>
      </w:r>
      <w:r w:rsidRPr="00E21B60">
        <w:rPr>
          <w:smallCaps/>
          <w:lang w:val="en-US"/>
        </w:rPr>
        <w:t>T. Michelot</w:t>
      </w:r>
      <w:r w:rsidRPr="00E21B60">
        <w:rPr>
          <w:lang w:val="en-US"/>
        </w:rPr>
        <w:t xml:space="preserve">, </w:t>
      </w:r>
      <w:r w:rsidRPr="00E21B60">
        <w:rPr>
          <w:smallCaps/>
          <w:lang w:val="en-US"/>
        </w:rPr>
        <w:t>J. Fieberg</w:t>
      </w:r>
      <w:r w:rsidRPr="00E21B60">
        <w:rPr>
          <w:lang w:val="en-US"/>
        </w:rPr>
        <w:t xml:space="preserve">, </w:t>
      </w:r>
      <w:r w:rsidRPr="00E21B60">
        <w:rPr>
          <w:smallCaps/>
          <w:lang w:val="en-US"/>
        </w:rPr>
        <w:t>E. J. Pedersen</w:t>
      </w:r>
      <w:r w:rsidRPr="00E21B60">
        <w:rPr>
          <w:lang w:val="en-US"/>
        </w:rPr>
        <w:t xml:space="preserve">, and </w:t>
      </w:r>
      <w:r w:rsidRPr="00E21B60">
        <w:rPr>
          <w:smallCaps/>
          <w:lang w:val="en-US"/>
        </w:rPr>
        <w:t>J. Mills Flemming</w:t>
      </w:r>
      <w:r w:rsidRPr="00E21B60">
        <w:rPr>
          <w:lang w:val="en-US"/>
        </w:rPr>
        <w:t>. 2024. Step selection functions with non‐linear and random effects. Methods Ecol. Evol. 15: 1332–1346.</w:t>
      </w:r>
    </w:p>
    <w:p w14:paraId="223BEC50" w14:textId="77777777" w:rsidR="00E21B60" w:rsidRPr="00E21B60" w:rsidRDefault="00E21B60" w:rsidP="00E21B60">
      <w:pPr>
        <w:pStyle w:val="Bibliography"/>
        <w:rPr>
          <w:lang w:val="en-US"/>
        </w:rPr>
      </w:pPr>
      <w:r w:rsidRPr="00E21B60">
        <w:rPr>
          <w:smallCaps/>
          <w:lang w:val="en-US"/>
        </w:rPr>
        <w:t>Laurance, W. F. et al.</w:t>
      </w:r>
      <w:r w:rsidRPr="00E21B60">
        <w:rPr>
          <w:lang w:val="en-US"/>
        </w:rPr>
        <w:t xml:space="preserve"> 2012. Averting biodiversity collapse in tropical forest protected areas. Nature 489: 290–294.</w:t>
      </w:r>
    </w:p>
    <w:p w14:paraId="6FE58E54" w14:textId="77777777" w:rsidR="00E21B60" w:rsidRPr="00E21B60" w:rsidRDefault="00E21B60" w:rsidP="00E21B60">
      <w:pPr>
        <w:pStyle w:val="Bibliography"/>
        <w:rPr>
          <w:lang w:val="en-US"/>
        </w:rPr>
      </w:pPr>
      <w:r w:rsidRPr="00E21B60">
        <w:rPr>
          <w:smallCaps/>
          <w:lang w:val="en-US"/>
        </w:rPr>
        <w:t>McBride, R. T.</w:t>
      </w:r>
      <w:r w:rsidRPr="00E21B60">
        <w:rPr>
          <w:lang w:val="en-US"/>
        </w:rPr>
        <w:t xml:space="preserve"> 2007. Safe and Selective Capture Technique for Jaguars in the Paraguayan Chaco. Southwest. Nat. 52: 570–577.</w:t>
      </w:r>
    </w:p>
    <w:p w14:paraId="5492217A" w14:textId="77777777" w:rsidR="00E21B60" w:rsidRPr="00E21B60" w:rsidRDefault="00E21B60" w:rsidP="00E21B60">
      <w:pPr>
        <w:pStyle w:val="Bibliography"/>
        <w:rPr>
          <w:lang w:val="en-US"/>
        </w:rPr>
      </w:pPr>
      <w:r w:rsidRPr="00E21B60">
        <w:rPr>
          <w:smallCaps/>
          <w:lang w:val="en-US"/>
        </w:rPr>
        <w:t>Miranda, E. B. P.</w:t>
      </w:r>
      <w:r w:rsidRPr="00E21B60">
        <w:rPr>
          <w:lang w:val="en-US"/>
        </w:rPr>
        <w:t xml:space="preserve">, </w:t>
      </w:r>
      <w:r w:rsidRPr="00E21B60">
        <w:rPr>
          <w:smallCaps/>
          <w:lang w:val="en-US"/>
        </w:rPr>
        <w:t>J. F. S. D. Menezes</w:t>
      </w:r>
      <w:r w:rsidRPr="00E21B60">
        <w:rPr>
          <w:lang w:val="en-US"/>
        </w:rPr>
        <w:t xml:space="preserve">, and </w:t>
      </w:r>
      <w:r w:rsidRPr="00E21B60">
        <w:rPr>
          <w:smallCaps/>
          <w:lang w:val="en-US"/>
        </w:rPr>
        <w:t>M. L. Rheingantz</w:t>
      </w:r>
      <w:r w:rsidRPr="00E21B60">
        <w:rPr>
          <w:lang w:val="en-US"/>
        </w:rPr>
        <w:t xml:space="preserve">. 2016. Reptiles as principal prey? Adaptations for durophagy and prey selection by jaguar ( </w:t>
      </w:r>
      <w:r w:rsidRPr="00E21B60">
        <w:rPr>
          <w:i/>
          <w:iCs/>
          <w:lang w:val="en-US"/>
        </w:rPr>
        <w:t>Panthera onca</w:t>
      </w:r>
      <w:r w:rsidRPr="00E21B60">
        <w:rPr>
          <w:lang w:val="en-US"/>
        </w:rPr>
        <w:t xml:space="preserve"> ). J. Nat. Hist. 50: 2021–2035.</w:t>
      </w:r>
    </w:p>
    <w:p w14:paraId="051B33FE" w14:textId="77777777" w:rsidR="00E21B60" w:rsidRPr="00E21B60" w:rsidRDefault="00E21B60" w:rsidP="00E21B60">
      <w:pPr>
        <w:pStyle w:val="Bibliography"/>
        <w:rPr>
          <w:lang w:val="en-US"/>
        </w:rPr>
      </w:pPr>
      <w:r w:rsidRPr="00E21B60">
        <w:rPr>
          <w:smallCaps/>
          <w:lang w:val="en-US"/>
        </w:rPr>
        <w:t>Monette, V. D.</w:t>
      </w:r>
      <w:r w:rsidRPr="00E21B60">
        <w:rPr>
          <w:lang w:val="en-US"/>
        </w:rPr>
        <w:t xml:space="preserve">, </w:t>
      </w:r>
      <w:r w:rsidRPr="00E21B60">
        <w:rPr>
          <w:smallCaps/>
          <w:lang w:val="en-US"/>
        </w:rPr>
        <w:t>M. J. Kelly</w:t>
      </w:r>
      <w:r w:rsidRPr="00E21B60">
        <w:rPr>
          <w:lang w:val="en-US"/>
        </w:rPr>
        <w:t xml:space="preserve">, and </w:t>
      </w:r>
      <w:r w:rsidRPr="00E21B60">
        <w:rPr>
          <w:smallCaps/>
          <w:lang w:val="en-US"/>
        </w:rPr>
        <w:t>R. Buchholz</w:t>
      </w:r>
      <w:r w:rsidRPr="00E21B60">
        <w:rPr>
          <w:lang w:val="en-US"/>
        </w:rPr>
        <w:t>. 2020. Human disturbance and the activity patterns and temporal overlap of tapirs and jaguars in reserves of NW Belize. Biotropica 52: 1262–1274.</w:t>
      </w:r>
    </w:p>
    <w:p w14:paraId="7FA6559C" w14:textId="77777777" w:rsidR="00E21B60" w:rsidRPr="00E21B60" w:rsidRDefault="00E21B60" w:rsidP="00E21B60">
      <w:pPr>
        <w:pStyle w:val="Bibliography"/>
        <w:rPr>
          <w:lang w:val="en-US"/>
        </w:rPr>
      </w:pPr>
      <w:r w:rsidRPr="00E21B60">
        <w:rPr>
          <w:smallCaps/>
          <w:lang w:val="en-US"/>
        </w:rPr>
        <w:t>Morant, J.</w:t>
      </w:r>
      <w:r w:rsidRPr="00E21B60">
        <w:rPr>
          <w:lang w:val="en-US"/>
        </w:rPr>
        <w:t xml:space="preserve">, </w:t>
      </w:r>
      <w:r w:rsidRPr="00E21B60">
        <w:rPr>
          <w:smallCaps/>
          <w:lang w:val="en-US"/>
        </w:rPr>
        <w:t>E. S. González</w:t>
      </w:r>
      <w:r w:rsidRPr="00E21B60">
        <w:rPr>
          <w:lang w:val="en-US"/>
        </w:rPr>
        <w:t xml:space="preserve">, </w:t>
      </w:r>
      <w:r w:rsidRPr="00E21B60">
        <w:rPr>
          <w:smallCaps/>
          <w:lang w:val="en-US"/>
        </w:rPr>
        <w:t>L. R. Tambosi</w:t>
      </w:r>
      <w:r w:rsidRPr="00E21B60">
        <w:rPr>
          <w:lang w:val="en-US"/>
        </w:rPr>
        <w:t xml:space="preserve">, </w:t>
      </w:r>
      <w:r w:rsidRPr="00E21B60">
        <w:rPr>
          <w:smallCaps/>
          <w:lang w:val="en-US"/>
        </w:rPr>
        <w:t>A. E. De Barros</w:t>
      </w:r>
      <w:r w:rsidRPr="00E21B60">
        <w:rPr>
          <w:lang w:val="en-US"/>
        </w:rPr>
        <w:t xml:space="preserve">, </w:t>
      </w:r>
      <w:r w:rsidRPr="00E21B60">
        <w:rPr>
          <w:smallCaps/>
          <w:lang w:val="en-US"/>
        </w:rPr>
        <w:t>G. R. De Araujo</w:t>
      </w:r>
      <w:r w:rsidRPr="00E21B60">
        <w:rPr>
          <w:lang w:val="en-US"/>
        </w:rPr>
        <w:t xml:space="preserve">, </w:t>
      </w:r>
      <w:r w:rsidRPr="00E21B60">
        <w:rPr>
          <w:smallCaps/>
          <w:lang w:val="en-US"/>
        </w:rPr>
        <w:t>T. De Deco Souza</w:t>
      </w:r>
      <w:r w:rsidRPr="00E21B60">
        <w:rPr>
          <w:lang w:val="en-US"/>
        </w:rPr>
        <w:t xml:space="preserve">, </w:t>
      </w:r>
      <w:r w:rsidRPr="00E21B60">
        <w:rPr>
          <w:smallCaps/>
          <w:lang w:val="en-US"/>
        </w:rPr>
        <w:t>R. A. Moreira</w:t>
      </w:r>
      <w:r w:rsidRPr="00E21B60">
        <w:rPr>
          <w:lang w:val="en-US"/>
        </w:rPr>
        <w:t xml:space="preserve">, </w:t>
      </w:r>
      <w:r w:rsidRPr="00E21B60">
        <w:rPr>
          <w:smallCaps/>
          <w:lang w:val="en-US"/>
        </w:rPr>
        <w:t>N. M. Tórres</w:t>
      </w:r>
      <w:r w:rsidRPr="00E21B60">
        <w:rPr>
          <w:lang w:val="en-US"/>
        </w:rPr>
        <w:t xml:space="preserve">, </w:t>
      </w:r>
      <w:r w:rsidRPr="00E21B60">
        <w:rPr>
          <w:smallCaps/>
          <w:lang w:val="en-US"/>
        </w:rPr>
        <w:t>M. C. C. Da Silva</w:t>
      </w:r>
      <w:r w:rsidRPr="00E21B60">
        <w:rPr>
          <w:lang w:val="en-US"/>
        </w:rPr>
        <w:t xml:space="preserve">, </w:t>
      </w:r>
      <w:r w:rsidRPr="00E21B60">
        <w:rPr>
          <w:smallCaps/>
          <w:lang w:val="en-US"/>
        </w:rPr>
        <w:t>L. Leuzinger</w:t>
      </w:r>
      <w:r w:rsidRPr="00E21B60">
        <w:rPr>
          <w:lang w:val="en-US"/>
        </w:rPr>
        <w:t xml:space="preserve">, </w:t>
      </w:r>
      <w:r w:rsidRPr="00E21B60">
        <w:rPr>
          <w:smallCaps/>
          <w:lang w:val="en-US"/>
        </w:rPr>
        <w:t>G. Oliveira</w:t>
      </w:r>
      <w:r w:rsidRPr="00E21B60">
        <w:rPr>
          <w:lang w:val="en-US"/>
        </w:rPr>
        <w:t xml:space="preserve">, </w:t>
      </w:r>
      <w:r w:rsidRPr="00E21B60">
        <w:rPr>
          <w:smallCaps/>
          <w:lang w:val="en-US"/>
        </w:rPr>
        <w:t>G. B. Alves</w:t>
      </w:r>
      <w:r w:rsidRPr="00E21B60">
        <w:rPr>
          <w:lang w:val="en-US"/>
        </w:rPr>
        <w:t xml:space="preserve">, </w:t>
      </w:r>
      <w:r w:rsidRPr="00E21B60">
        <w:rPr>
          <w:smallCaps/>
          <w:lang w:val="en-US"/>
        </w:rPr>
        <w:t>F. B. L. Palmeira</w:t>
      </w:r>
      <w:r w:rsidRPr="00E21B60">
        <w:rPr>
          <w:lang w:val="en-US"/>
        </w:rPr>
        <w:t xml:space="preserve">, </w:t>
      </w:r>
      <w:r w:rsidRPr="00E21B60">
        <w:rPr>
          <w:smallCaps/>
          <w:lang w:val="en-US"/>
        </w:rPr>
        <w:t>A. T. A. Jácomo</w:t>
      </w:r>
      <w:r w:rsidRPr="00E21B60">
        <w:rPr>
          <w:lang w:val="en-US"/>
        </w:rPr>
        <w:t xml:space="preserve">, and </w:t>
      </w:r>
      <w:r w:rsidRPr="00E21B60">
        <w:rPr>
          <w:smallCaps/>
          <w:lang w:val="en-US"/>
        </w:rPr>
        <w:t>L. Silveira</w:t>
      </w:r>
      <w:r w:rsidRPr="00E21B60">
        <w:rPr>
          <w:lang w:val="en-US"/>
        </w:rPr>
        <w:t>. 2025. Low human disturbance levels alter movement patterns and induce behavioural changes in an apex predator. Biol. Conserv. 309: 111278.</w:t>
      </w:r>
    </w:p>
    <w:p w14:paraId="2B2F46AC" w14:textId="77777777" w:rsidR="00E21B60" w:rsidRPr="00E21B60" w:rsidRDefault="00E21B60" w:rsidP="00E21B60">
      <w:pPr>
        <w:pStyle w:val="Bibliography"/>
        <w:rPr>
          <w:lang w:val="en-US"/>
        </w:rPr>
      </w:pPr>
      <w:r w:rsidRPr="00E21B60">
        <w:rPr>
          <w:smallCaps/>
          <w:lang w:val="en-US"/>
        </w:rPr>
        <w:t>Morato, R. G. et al.</w:t>
      </w:r>
      <w:r w:rsidRPr="00E21B60">
        <w:rPr>
          <w:lang w:val="en-US"/>
        </w:rPr>
        <w:t xml:space="preserve"> 2016. Space Use and Movement of a Neotropical Top Predator: The Endangered Jaguar M. Stöck (Ed.). PLOS ONE 11: e0168176.</w:t>
      </w:r>
    </w:p>
    <w:p w14:paraId="4FB6F7D8" w14:textId="77777777" w:rsidR="00E21B60" w:rsidRPr="00E21B60" w:rsidRDefault="00E21B60" w:rsidP="00E21B60">
      <w:pPr>
        <w:pStyle w:val="Bibliography"/>
        <w:rPr>
          <w:lang w:val="en-US"/>
        </w:rPr>
      </w:pPr>
      <w:r w:rsidRPr="00E21B60">
        <w:rPr>
          <w:smallCaps/>
          <w:lang w:val="en-US"/>
        </w:rPr>
        <w:lastRenderedPageBreak/>
        <w:t>Moreno, R.</w:t>
      </w:r>
      <w:r w:rsidRPr="00E21B60">
        <w:rPr>
          <w:lang w:val="en-US"/>
        </w:rPr>
        <w:t xml:space="preserve">, </w:t>
      </w:r>
      <w:r w:rsidRPr="00E21B60">
        <w:rPr>
          <w:smallCaps/>
          <w:lang w:val="en-US"/>
        </w:rPr>
        <w:t>J. A. De La Torre</w:t>
      </w:r>
      <w:r w:rsidRPr="00E21B60">
        <w:rPr>
          <w:lang w:val="en-US"/>
        </w:rPr>
        <w:t xml:space="preserve">, </w:t>
      </w:r>
      <w:r w:rsidRPr="00E21B60">
        <w:rPr>
          <w:smallCaps/>
          <w:lang w:val="en-US"/>
        </w:rPr>
        <w:t>J. Ortega</w:t>
      </w:r>
      <w:r w:rsidRPr="00E21B60">
        <w:rPr>
          <w:lang w:val="en-US"/>
        </w:rPr>
        <w:t xml:space="preserve">, </w:t>
      </w:r>
      <w:r w:rsidRPr="00E21B60">
        <w:rPr>
          <w:smallCaps/>
          <w:lang w:val="en-US"/>
        </w:rPr>
        <w:t>N. Young</w:t>
      </w:r>
      <w:r w:rsidRPr="00E21B60">
        <w:rPr>
          <w:lang w:val="en-US"/>
        </w:rPr>
        <w:t xml:space="preserve">, </w:t>
      </w:r>
      <w:r w:rsidRPr="00E21B60">
        <w:rPr>
          <w:smallCaps/>
          <w:lang w:val="en-US"/>
        </w:rPr>
        <w:t>A. Puertes</w:t>
      </w:r>
      <w:r w:rsidRPr="00E21B60">
        <w:rPr>
          <w:lang w:val="en-US"/>
        </w:rPr>
        <w:t xml:space="preserve">, and </w:t>
      </w:r>
      <w:r w:rsidRPr="00E21B60">
        <w:rPr>
          <w:smallCaps/>
          <w:lang w:val="en-US"/>
        </w:rPr>
        <w:t>R. Kays</w:t>
      </w:r>
      <w:r w:rsidRPr="00E21B60">
        <w:rPr>
          <w:lang w:val="en-US"/>
        </w:rPr>
        <w:t>. 2025. Jaguar Space Use in the Working Landscape of Darien, Panama. Trop. Conserv. Sci. 18: 19400829251332163.</w:t>
      </w:r>
    </w:p>
    <w:p w14:paraId="394EFE9F" w14:textId="77777777" w:rsidR="00E21B60" w:rsidRPr="00E21B60" w:rsidRDefault="00E21B60" w:rsidP="00E21B60">
      <w:pPr>
        <w:pStyle w:val="Bibliography"/>
        <w:rPr>
          <w:lang w:val="en-US"/>
        </w:rPr>
      </w:pPr>
      <w:r w:rsidRPr="00E21B60">
        <w:rPr>
          <w:smallCaps/>
          <w:lang w:val="en-US"/>
        </w:rPr>
        <w:t>Moreno, R. S.</w:t>
      </w:r>
      <w:r w:rsidRPr="00E21B60">
        <w:rPr>
          <w:lang w:val="en-US"/>
        </w:rPr>
        <w:t xml:space="preserve">, </w:t>
      </w:r>
      <w:r w:rsidRPr="00E21B60">
        <w:rPr>
          <w:smallCaps/>
          <w:lang w:val="en-US"/>
        </w:rPr>
        <w:t>R. W. Kays</w:t>
      </w:r>
      <w:r w:rsidRPr="00E21B60">
        <w:rPr>
          <w:lang w:val="en-US"/>
        </w:rPr>
        <w:t xml:space="preserve">, and </w:t>
      </w:r>
      <w:r w:rsidRPr="00E21B60">
        <w:rPr>
          <w:smallCaps/>
          <w:lang w:val="en-US"/>
        </w:rPr>
        <w:t>R. Samudio</w:t>
      </w:r>
      <w:r w:rsidRPr="00E21B60">
        <w:rPr>
          <w:lang w:val="en-US"/>
        </w:rPr>
        <w:t>. 2006. COMPETITIVE RELEASE IN DIETS OF OCELOT (LEOPARDUS PARDALIS) AND PUMA (PUMA CONCOLOR) AFTER JAGUAR (PANTHERA ONCA) DECLINE. J. Mammal. 87: 808–816.</w:t>
      </w:r>
    </w:p>
    <w:p w14:paraId="268AFBD8" w14:textId="77777777" w:rsidR="00E21B60" w:rsidRPr="00E21B60" w:rsidRDefault="00E21B60" w:rsidP="00E21B60">
      <w:pPr>
        <w:pStyle w:val="Bibliography"/>
        <w:rPr>
          <w:lang w:val="en-US"/>
        </w:rPr>
      </w:pPr>
      <w:r w:rsidRPr="00E21B60">
        <w:rPr>
          <w:smallCaps/>
          <w:lang w:val="en-US"/>
        </w:rPr>
        <w:t>Nittrouer, C. A.</w:t>
      </w:r>
      <w:r w:rsidRPr="00E21B60">
        <w:rPr>
          <w:lang w:val="en-US"/>
        </w:rPr>
        <w:t xml:space="preserve">, </w:t>
      </w:r>
      <w:r w:rsidRPr="00E21B60">
        <w:rPr>
          <w:smallCaps/>
          <w:lang w:val="en-US"/>
        </w:rPr>
        <w:t>S. A. Kuehl</w:t>
      </w:r>
      <w:r w:rsidRPr="00E21B60">
        <w:rPr>
          <w:lang w:val="en-US"/>
        </w:rPr>
        <w:t xml:space="preserve">, </w:t>
      </w:r>
      <w:r w:rsidRPr="00E21B60">
        <w:rPr>
          <w:smallCaps/>
          <w:lang w:val="en-US"/>
        </w:rPr>
        <w:t>R. W. Sternberg</w:t>
      </w:r>
      <w:r w:rsidRPr="00E21B60">
        <w:rPr>
          <w:lang w:val="en-US"/>
        </w:rPr>
        <w:t xml:space="preserve">, </w:t>
      </w:r>
      <w:r w:rsidRPr="00E21B60">
        <w:rPr>
          <w:smallCaps/>
          <w:lang w:val="en-US"/>
        </w:rPr>
        <w:t>A. G. Figueiredo</w:t>
      </w:r>
      <w:r w:rsidRPr="00E21B60">
        <w:rPr>
          <w:lang w:val="en-US"/>
        </w:rPr>
        <w:t xml:space="preserve">, and </w:t>
      </w:r>
      <w:r w:rsidRPr="00E21B60">
        <w:rPr>
          <w:smallCaps/>
          <w:lang w:val="en-US"/>
        </w:rPr>
        <w:t>L. E. C. Faria</w:t>
      </w:r>
      <w:r w:rsidRPr="00E21B60">
        <w:rPr>
          <w:lang w:val="en-US"/>
        </w:rPr>
        <w:t>. 1995. An introduction to the geological significance of sediment transport and accumulation on the Amazon continental shelf. Mar. Geol. 125: 177–192.</w:t>
      </w:r>
    </w:p>
    <w:p w14:paraId="3CEC5E64" w14:textId="77777777" w:rsidR="00E21B60" w:rsidRPr="00E21B60" w:rsidRDefault="00E21B60" w:rsidP="00E21B60">
      <w:pPr>
        <w:pStyle w:val="Bibliography"/>
        <w:rPr>
          <w:lang w:val="en-US"/>
        </w:rPr>
      </w:pPr>
      <w:r w:rsidRPr="00E21B60">
        <w:rPr>
          <w:smallCaps/>
          <w:lang w:val="en-US"/>
        </w:rPr>
        <w:t>Noonan, M. J. et al.</w:t>
      </w:r>
      <w:r w:rsidRPr="00E21B60">
        <w:rPr>
          <w:lang w:val="en-US"/>
        </w:rPr>
        <w:t xml:space="preserve"> 2019. A comprehensive analysis of autocorrelation and bias in home range estimation. Ecol. Monogr. 89. Available at: https://onlinelibrary.wiley.com/doi/10.1002/ecm.1344.</w:t>
      </w:r>
    </w:p>
    <w:p w14:paraId="52EE02C3" w14:textId="77777777" w:rsidR="00E21B60" w:rsidRPr="00E21B60" w:rsidRDefault="00E21B60" w:rsidP="00E21B60">
      <w:pPr>
        <w:pStyle w:val="Bibliography"/>
        <w:rPr>
          <w:lang w:val="en-US"/>
        </w:rPr>
      </w:pPr>
      <w:r w:rsidRPr="00E21B60">
        <w:rPr>
          <w:smallCaps/>
          <w:lang w:val="en-US"/>
        </w:rPr>
        <w:t>Noonan, M. J.</w:t>
      </w:r>
      <w:r w:rsidRPr="00E21B60">
        <w:rPr>
          <w:lang w:val="en-US"/>
        </w:rPr>
        <w:t xml:space="preserve">, </w:t>
      </w:r>
      <w:r w:rsidRPr="00E21B60">
        <w:rPr>
          <w:smallCaps/>
          <w:lang w:val="en-US"/>
        </w:rPr>
        <w:t>C. H. Fleming</w:t>
      </w:r>
      <w:r w:rsidRPr="00E21B60">
        <w:rPr>
          <w:lang w:val="en-US"/>
        </w:rPr>
        <w:t xml:space="preserve">, </w:t>
      </w:r>
      <w:r w:rsidRPr="00E21B60">
        <w:rPr>
          <w:smallCaps/>
          <w:lang w:val="en-US"/>
        </w:rPr>
        <w:t>T. S. Akre</w:t>
      </w:r>
      <w:r w:rsidRPr="00E21B60">
        <w:rPr>
          <w:lang w:val="en-US"/>
        </w:rPr>
        <w:t xml:space="preserve">, </w:t>
      </w:r>
      <w:r w:rsidRPr="00E21B60">
        <w:rPr>
          <w:smallCaps/>
          <w:lang w:val="en-US"/>
        </w:rPr>
        <w:t>J. Drescher-Lehman</w:t>
      </w:r>
      <w:r w:rsidRPr="00E21B60">
        <w:rPr>
          <w:lang w:val="en-US"/>
        </w:rPr>
        <w:t xml:space="preserve">, </w:t>
      </w:r>
      <w:r w:rsidRPr="00E21B60">
        <w:rPr>
          <w:smallCaps/>
          <w:lang w:val="en-US"/>
        </w:rPr>
        <w:t>E. Gurarie</w:t>
      </w:r>
      <w:r w:rsidRPr="00E21B60">
        <w:rPr>
          <w:lang w:val="en-US"/>
        </w:rPr>
        <w:t xml:space="preserve">, </w:t>
      </w:r>
      <w:r w:rsidRPr="00E21B60">
        <w:rPr>
          <w:smallCaps/>
          <w:lang w:val="en-US"/>
        </w:rPr>
        <w:t>A.-L. Harrison</w:t>
      </w:r>
      <w:r w:rsidRPr="00E21B60">
        <w:rPr>
          <w:lang w:val="en-US"/>
        </w:rPr>
        <w:t xml:space="preserve">, </w:t>
      </w:r>
      <w:r w:rsidRPr="00E21B60">
        <w:rPr>
          <w:smallCaps/>
          <w:lang w:val="en-US"/>
        </w:rPr>
        <w:t>R. Kays</w:t>
      </w:r>
      <w:r w:rsidRPr="00E21B60">
        <w:rPr>
          <w:lang w:val="en-US"/>
        </w:rPr>
        <w:t xml:space="preserve">, and </w:t>
      </w:r>
      <w:r w:rsidRPr="00E21B60">
        <w:rPr>
          <w:smallCaps/>
          <w:lang w:val="en-US"/>
        </w:rPr>
        <w:t>J. M. Calabrese</w:t>
      </w:r>
      <w:r w:rsidRPr="00E21B60">
        <w:rPr>
          <w:lang w:val="en-US"/>
        </w:rPr>
        <w:t>. 2019. Scale-insensitive estimation of speed and distance traveled from animal tracking data. Mov. Ecol. 7: 35.</w:t>
      </w:r>
    </w:p>
    <w:p w14:paraId="0FECC3EA" w14:textId="77777777" w:rsidR="00E21B60" w:rsidRPr="00E21B60" w:rsidRDefault="00E21B60" w:rsidP="00E21B60">
      <w:pPr>
        <w:pStyle w:val="Bibliography"/>
        <w:rPr>
          <w:lang w:val="en-US"/>
        </w:rPr>
      </w:pPr>
      <w:r w:rsidRPr="00E21B60">
        <w:rPr>
          <w:smallCaps/>
          <w:lang w:val="en-US"/>
        </w:rPr>
        <w:t>Odden, M.</w:t>
      </w:r>
      <w:r w:rsidRPr="00E21B60">
        <w:rPr>
          <w:lang w:val="en-US"/>
        </w:rPr>
        <w:t xml:space="preserve">, and </w:t>
      </w:r>
      <w:r w:rsidRPr="00E21B60">
        <w:rPr>
          <w:smallCaps/>
          <w:lang w:val="en-US"/>
        </w:rPr>
        <w:t>P. Wegge</w:t>
      </w:r>
      <w:r w:rsidRPr="00E21B60">
        <w:rPr>
          <w:lang w:val="en-US"/>
        </w:rPr>
        <w:t>. 2005. Spacing and activity patterns of leopards Panthera pardus in the Royal Bardia National Park, Nepal. Wildl. Biol. 11: 145–152.</w:t>
      </w:r>
    </w:p>
    <w:p w14:paraId="0924B004" w14:textId="77777777" w:rsidR="00E21B60" w:rsidRPr="00E21B60" w:rsidRDefault="00E21B60" w:rsidP="00E21B60">
      <w:pPr>
        <w:pStyle w:val="Bibliography"/>
        <w:rPr>
          <w:lang w:val="en-US"/>
        </w:rPr>
      </w:pPr>
      <w:r w:rsidRPr="00E21B60">
        <w:rPr>
          <w:smallCaps/>
          <w:lang w:val="en-US"/>
        </w:rPr>
        <w:t>Polisar, J.</w:t>
      </w:r>
      <w:r w:rsidRPr="00E21B60">
        <w:rPr>
          <w:lang w:val="en-US"/>
        </w:rPr>
        <w:t xml:space="preserve">, </w:t>
      </w:r>
      <w:r w:rsidRPr="00E21B60">
        <w:rPr>
          <w:smallCaps/>
          <w:lang w:val="en-US"/>
        </w:rPr>
        <w:t>I. Maxit</w:t>
      </w:r>
      <w:r w:rsidRPr="00E21B60">
        <w:rPr>
          <w:lang w:val="en-US"/>
        </w:rPr>
        <w:t xml:space="preserve">, </w:t>
      </w:r>
      <w:r w:rsidRPr="00E21B60">
        <w:rPr>
          <w:smallCaps/>
          <w:lang w:val="en-US"/>
        </w:rPr>
        <w:t>D. Scognamillo</w:t>
      </w:r>
      <w:r w:rsidRPr="00E21B60">
        <w:rPr>
          <w:lang w:val="en-US"/>
        </w:rPr>
        <w:t xml:space="preserve">, </w:t>
      </w:r>
      <w:r w:rsidRPr="00E21B60">
        <w:rPr>
          <w:smallCaps/>
          <w:lang w:val="en-US"/>
        </w:rPr>
        <w:t>L. Farrell</w:t>
      </w:r>
      <w:r w:rsidRPr="00E21B60">
        <w:rPr>
          <w:lang w:val="en-US"/>
        </w:rPr>
        <w:t xml:space="preserve">, </w:t>
      </w:r>
      <w:r w:rsidRPr="00E21B60">
        <w:rPr>
          <w:smallCaps/>
          <w:lang w:val="en-US"/>
        </w:rPr>
        <w:t>M. E. Sunquist</w:t>
      </w:r>
      <w:r w:rsidRPr="00E21B60">
        <w:rPr>
          <w:lang w:val="en-US"/>
        </w:rPr>
        <w:t xml:space="preserve">, and </w:t>
      </w:r>
      <w:r w:rsidRPr="00E21B60">
        <w:rPr>
          <w:smallCaps/>
          <w:lang w:val="en-US"/>
        </w:rPr>
        <w:t>J. F. Eisenberg</w:t>
      </w:r>
      <w:r w:rsidRPr="00E21B60">
        <w:rPr>
          <w:lang w:val="en-US"/>
        </w:rPr>
        <w:t>. 2003. Jaguars, pumas, their prey base, and cattle ranching: ecological interpretations of a management problem. Biol. Conserv. 109: 297–310.</w:t>
      </w:r>
    </w:p>
    <w:p w14:paraId="5F815248" w14:textId="77777777" w:rsidR="00E21B60" w:rsidRPr="00E21B60" w:rsidRDefault="00E21B60" w:rsidP="00E21B60">
      <w:pPr>
        <w:pStyle w:val="Bibliography"/>
        <w:rPr>
          <w:lang w:val="en-US"/>
        </w:rPr>
      </w:pPr>
      <w:r w:rsidRPr="00E21B60">
        <w:rPr>
          <w:smallCaps/>
          <w:lang w:val="en-US"/>
        </w:rPr>
        <w:t>R Core Team</w:t>
      </w:r>
      <w:r w:rsidRPr="00E21B60">
        <w:rPr>
          <w:lang w:val="en-US"/>
        </w:rPr>
        <w:t>. 2014. R: A language and environment for statistical computing. Available at: https://cran.r-project.org/doc/manuals/r-release/fullrefman.pdf.</w:t>
      </w:r>
    </w:p>
    <w:p w14:paraId="7F3E8345" w14:textId="77777777" w:rsidR="00E21B60" w:rsidRPr="00E21B60" w:rsidRDefault="00E21B60" w:rsidP="00E21B60">
      <w:pPr>
        <w:pStyle w:val="Bibliography"/>
        <w:rPr>
          <w:lang w:val="en-US"/>
        </w:rPr>
      </w:pPr>
      <w:r w:rsidRPr="00E21B60">
        <w:rPr>
          <w:smallCaps/>
          <w:lang w:val="en-US"/>
        </w:rPr>
        <w:t>Ripple, W. J.</w:t>
      </w:r>
      <w:r w:rsidRPr="00E21B60">
        <w:rPr>
          <w:lang w:val="en-US"/>
        </w:rPr>
        <w:t xml:space="preserve">, </w:t>
      </w:r>
      <w:r w:rsidRPr="00E21B60">
        <w:rPr>
          <w:smallCaps/>
          <w:lang w:val="en-US"/>
        </w:rPr>
        <w:t>J. A. Estes</w:t>
      </w:r>
      <w:r w:rsidRPr="00E21B60">
        <w:rPr>
          <w:lang w:val="en-US"/>
        </w:rPr>
        <w:t xml:space="preserve">, </w:t>
      </w:r>
      <w:r w:rsidRPr="00E21B60">
        <w:rPr>
          <w:smallCaps/>
          <w:lang w:val="en-US"/>
        </w:rPr>
        <w:t>R. L. Beschta</w:t>
      </w:r>
      <w:r w:rsidRPr="00E21B60">
        <w:rPr>
          <w:lang w:val="en-US"/>
        </w:rPr>
        <w:t xml:space="preserve">, </w:t>
      </w:r>
      <w:r w:rsidRPr="00E21B60">
        <w:rPr>
          <w:smallCaps/>
          <w:lang w:val="en-US"/>
        </w:rPr>
        <w:t>C. C. Wilmers</w:t>
      </w:r>
      <w:r w:rsidRPr="00E21B60">
        <w:rPr>
          <w:lang w:val="en-US"/>
        </w:rPr>
        <w:t xml:space="preserve">, </w:t>
      </w:r>
      <w:r w:rsidRPr="00E21B60">
        <w:rPr>
          <w:smallCaps/>
          <w:lang w:val="en-US"/>
        </w:rPr>
        <w:t>E. G. Ritchie</w:t>
      </w:r>
      <w:r w:rsidRPr="00E21B60">
        <w:rPr>
          <w:lang w:val="en-US"/>
        </w:rPr>
        <w:t xml:space="preserve">, </w:t>
      </w:r>
      <w:r w:rsidRPr="00E21B60">
        <w:rPr>
          <w:smallCaps/>
          <w:lang w:val="en-US"/>
        </w:rPr>
        <w:t>M. Hebblewhite</w:t>
      </w:r>
      <w:r w:rsidRPr="00E21B60">
        <w:rPr>
          <w:lang w:val="en-US"/>
        </w:rPr>
        <w:t xml:space="preserve">, </w:t>
      </w:r>
      <w:r w:rsidRPr="00E21B60">
        <w:rPr>
          <w:smallCaps/>
          <w:lang w:val="en-US"/>
        </w:rPr>
        <w:t>J. Berger</w:t>
      </w:r>
      <w:r w:rsidRPr="00E21B60">
        <w:rPr>
          <w:lang w:val="en-US"/>
        </w:rPr>
        <w:t xml:space="preserve">, </w:t>
      </w:r>
      <w:r w:rsidRPr="00E21B60">
        <w:rPr>
          <w:smallCaps/>
          <w:lang w:val="en-US"/>
        </w:rPr>
        <w:t>B. Elmhagen</w:t>
      </w:r>
      <w:r w:rsidRPr="00E21B60">
        <w:rPr>
          <w:lang w:val="en-US"/>
        </w:rPr>
        <w:t xml:space="preserve">, </w:t>
      </w:r>
      <w:r w:rsidRPr="00E21B60">
        <w:rPr>
          <w:smallCaps/>
          <w:lang w:val="en-US"/>
        </w:rPr>
        <w:t>M. Letnic</w:t>
      </w:r>
      <w:r w:rsidRPr="00E21B60">
        <w:rPr>
          <w:lang w:val="en-US"/>
        </w:rPr>
        <w:t xml:space="preserve">, </w:t>
      </w:r>
      <w:r w:rsidRPr="00E21B60">
        <w:rPr>
          <w:smallCaps/>
          <w:lang w:val="en-US"/>
        </w:rPr>
        <w:t>M. P. Nelson</w:t>
      </w:r>
      <w:r w:rsidRPr="00E21B60">
        <w:rPr>
          <w:lang w:val="en-US"/>
        </w:rPr>
        <w:t xml:space="preserve">, </w:t>
      </w:r>
      <w:r w:rsidRPr="00E21B60">
        <w:rPr>
          <w:smallCaps/>
          <w:lang w:val="en-US"/>
        </w:rPr>
        <w:t>O. J. Schmitz</w:t>
      </w:r>
      <w:r w:rsidRPr="00E21B60">
        <w:rPr>
          <w:lang w:val="en-US"/>
        </w:rPr>
        <w:t xml:space="preserve">, </w:t>
      </w:r>
      <w:r w:rsidRPr="00E21B60">
        <w:rPr>
          <w:smallCaps/>
          <w:lang w:val="en-US"/>
        </w:rPr>
        <w:t>D. W. Smith</w:t>
      </w:r>
      <w:r w:rsidRPr="00E21B60">
        <w:rPr>
          <w:lang w:val="en-US"/>
        </w:rPr>
        <w:t xml:space="preserve">, </w:t>
      </w:r>
      <w:r w:rsidRPr="00E21B60">
        <w:rPr>
          <w:smallCaps/>
          <w:lang w:val="en-US"/>
        </w:rPr>
        <w:t>A. D. Wallach</w:t>
      </w:r>
      <w:r w:rsidRPr="00E21B60">
        <w:rPr>
          <w:lang w:val="en-US"/>
        </w:rPr>
        <w:t xml:space="preserve">, and </w:t>
      </w:r>
      <w:r w:rsidRPr="00E21B60">
        <w:rPr>
          <w:smallCaps/>
          <w:lang w:val="en-US"/>
        </w:rPr>
        <w:t>A. J. Wirsing</w:t>
      </w:r>
      <w:r w:rsidRPr="00E21B60">
        <w:rPr>
          <w:lang w:val="en-US"/>
        </w:rPr>
        <w:t>. 2014. Status and Ecological Effects of the World’s Largest Carnivores. Science 343: 1241484.</w:t>
      </w:r>
    </w:p>
    <w:p w14:paraId="1C3EFC95" w14:textId="77777777" w:rsidR="00E21B60" w:rsidRPr="00E21B60" w:rsidRDefault="00E21B60" w:rsidP="00E21B60">
      <w:pPr>
        <w:pStyle w:val="Bibliography"/>
        <w:rPr>
          <w:lang w:val="en-US"/>
        </w:rPr>
      </w:pPr>
      <w:r w:rsidRPr="00E21B60">
        <w:rPr>
          <w:smallCaps/>
          <w:lang w:val="en-US"/>
        </w:rPr>
        <w:t>Seymour, K. L.</w:t>
      </w:r>
      <w:r w:rsidRPr="00E21B60">
        <w:rPr>
          <w:lang w:val="en-US"/>
        </w:rPr>
        <w:t xml:space="preserve"> 1989. Panthera onca. Mamm. Species 1.</w:t>
      </w:r>
    </w:p>
    <w:p w14:paraId="376CA60A" w14:textId="77777777" w:rsidR="00E21B60" w:rsidRPr="00E21B60" w:rsidRDefault="00E21B60" w:rsidP="00E21B60">
      <w:pPr>
        <w:pStyle w:val="Bibliography"/>
        <w:rPr>
          <w:lang w:val="en-US"/>
        </w:rPr>
      </w:pPr>
      <w:r w:rsidRPr="00E21B60">
        <w:rPr>
          <w:smallCaps/>
          <w:lang w:val="en-US"/>
        </w:rPr>
        <w:t>Sikes, R. S.</w:t>
      </w:r>
      <w:r w:rsidRPr="00E21B60">
        <w:rPr>
          <w:lang w:val="en-US"/>
        </w:rPr>
        <w:t xml:space="preserve"> and </w:t>
      </w:r>
      <w:r w:rsidRPr="00E21B60">
        <w:rPr>
          <w:smallCaps/>
          <w:lang w:val="en-US"/>
        </w:rPr>
        <w:t>the Animal Care and Use Committee of the American Society of Mammalogists</w:t>
      </w:r>
      <w:r w:rsidRPr="00E21B60">
        <w:rPr>
          <w:lang w:val="en-US"/>
        </w:rPr>
        <w:t>. 2016. 2016 Guidelines of the American Society of Mammalogists for the use of wild mammals in research and education: J. Mammal. 97: 663–688.</w:t>
      </w:r>
    </w:p>
    <w:p w14:paraId="5E2A932A" w14:textId="77777777" w:rsidR="00E21B60" w:rsidRPr="00E21B60" w:rsidRDefault="00E21B60" w:rsidP="00E21B60">
      <w:pPr>
        <w:pStyle w:val="Bibliography"/>
        <w:rPr>
          <w:lang w:val="en-US"/>
        </w:rPr>
      </w:pPr>
      <w:r w:rsidRPr="00E21B60">
        <w:rPr>
          <w:smallCaps/>
          <w:lang w:val="en-US"/>
        </w:rPr>
        <w:t>Sunquist, M.</w:t>
      </w:r>
      <w:r w:rsidRPr="00E21B60">
        <w:rPr>
          <w:lang w:val="en-US"/>
        </w:rPr>
        <w:t xml:space="preserve">, and </w:t>
      </w:r>
      <w:r w:rsidRPr="00E21B60">
        <w:rPr>
          <w:smallCaps/>
          <w:lang w:val="en-US"/>
        </w:rPr>
        <w:t>F. Sunquist</w:t>
      </w:r>
      <w:r w:rsidRPr="00E21B60">
        <w:rPr>
          <w:lang w:val="en-US"/>
        </w:rPr>
        <w:t>. 2002. Wild Cats of the World. University of Chicago Press, Chicago, IL Available at: https://press.uchicago.edu/ucp/books/book/chicago/W/bo3643502.html [Accessed July 7, 2025].</w:t>
      </w:r>
    </w:p>
    <w:p w14:paraId="225CA1AE" w14:textId="77777777" w:rsidR="00E21B60" w:rsidRPr="00E21B60" w:rsidRDefault="00E21B60" w:rsidP="00E21B60">
      <w:pPr>
        <w:pStyle w:val="Bibliography"/>
        <w:rPr>
          <w:lang w:val="en-US"/>
        </w:rPr>
      </w:pPr>
      <w:r w:rsidRPr="00E21B60">
        <w:rPr>
          <w:smallCaps/>
          <w:lang w:val="en-US"/>
        </w:rPr>
        <w:t>Thompson, J. J. et al.</w:t>
      </w:r>
      <w:r w:rsidRPr="00E21B60">
        <w:rPr>
          <w:lang w:val="en-US"/>
        </w:rPr>
        <w:t xml:space="preserve"> 2021. Environmental and anthropogenic factors synergistically affect space use of jaguars. Curr. Biol. 31: 3457-3466.e4.</w:t>
      </w:r>
    </w:p>
    <w:p w14:paraId="56B34782" w14:textId="77777777" w:rsidR="00E21B60" w:rsidRPr="00E21B60" w:rsidRDefault="00E21B60" w:rsidP="00E21B60">
      <w:pPr>
        <w:pStyle w:val="Bibliography"/>
        <w:rPr>
          <w:lang w:val="en-US"/>
        </w:rPr>
      </w:pPr>
      <w:r w:rsidRPr="00E21B60">
        <w:rPr>
          <w:smallCaps/>
          <w:lang w:val="en-US"/>
        </w:rPr>
        <w:lastRenderedPageBreak/>
        <w:t>Tossens, S.</w:t>
      </w:r>
      <w:r w:rsidRPr="00E21B60">
        <w:rPr>
          <w:lang w:val="en-US"/>
        </w:rPr>
        <w:t xml:space="preserve">, </w:t>
      </w:r>
      <w:r w:rsidRPr="00E21B60">
        <w:rPr>
          <w:smallCaps/>
          <w:lang w:val="en-US"/>
        </w:rPr>
        <w:t>M. Drouilly</w:t>
      </w:r>
      <w:r w:rsidRPr="00E21B60">
        <w:rPr>
          <w:lang w:val="en-US"/>
        </w:rPr>
        <w:t xml:space="preserve">, </w:t>
      </w:r>
      <w:r w:rsidRPr="00E21B60">
        <w:rPr>
          <w:smallCaps/>
          <w:lang w:val="en-US"/>
        </w:rPr>
        <w:t>S. Lhoest</w:t>
      </w:r>
      <w:r w:rsidRPr="00E21B60">
        <w:rPr>
          <w:lang w:val="en-US"/>
        </w:rPr>
        <w:t xml:space="preserve">, </w:t>
      </w:r>
      <w:r w:rsidRPr="00E21B60">
        <w:rPr>
          <w:smallCaps/>
          <w:lang w:val="en-US"/>
        </w:rPr>
        <w:t>C. Vermeulen</w:t>
      </w:r>
      <w:r w:rsidRPr="00E21B60">
        <w:rPr>
          <w:lang w:val="en-US"/>
        </w:rPr>
        <w:t xml:space="preserve">, and </w:t>
      </w:r>
      <w:r w:rsidRPr="00E21B60">
        <w:rPr>
          <w:smallCaps/>
          <w:lang w:val="en-US"/>
        </w:rPr>
        <w:t>J. Doucet</w:t>
      </w:r>
      <w:r w:rsidRPr="00E21B60">
        <w:rPr>
          <w:lang w:val="en-US"/>
        </w:rPr>
        <w:t>. 2025. Wild felids in trophic cascades: a global review. Mammal Rev. 55: e12358.</w:t>
      </w:r>
    </w:p>
    <w:p w14:paraId="36CB2204" w14:textId="77777777" w:rsidR="00E21B60" w:rsidRPr="00E21B60" w:rsidRDefault="00E21B60" w:rsidP="00E21B60">
      <w:pPr>
        <w:pStyle w:val="Bibliography"/>
        <w:rPr>
          <w:lang w:val="en-US"/>
        </w:rPr>
      </w:pPr>
      <w:r w:rsidRPr="00E21B60">
        <w:rPr>
          <w:smallCaps/>
          <w:lang w:val="en-US"/>
        </w:rPr>
        <w:t>Vergara, M.</w:t>
      </w:r>
      <w:r w:rsidRPr="00E21B60">
        <w:rPr>
          <w:lang w:val="en-US"/>
        </w:rPr>
        <w:t xml:space="preserve"> 2011. Aspectos ecolóficos da onça-pintada (Panthera onca) em uma ilha costeira na região norte do Brasil. Universidade Federal de Santa Maria, Santa Maria, RS, Brasil.</w:t>
      </w:r>
    </w:p>
    <w:p w14:paraId="29E4BA7D" w14:textId="77777777" w:rsidR="00E21B60" w:rsidRPr="00E21B60" w:rsidRDefault="00E21B60" w:rsidP="00E21B60">
      <w:pPr>
        <w:pStyle w:val="Bibliography"/>
        <w:rPr>
          <w:lang w:val="en-US"/>
        </w:rPr>
      </w:pPr>
      <w:r w:rsidRPr="00E21B60">
        <w:rPr>
          <w:smallCaps/>
          <w:lang w:val="en-US"/>
        </w:rPr>
        <w:t>Viechtbauer, W.</w:t>
      </w:r>
      <w:r w:rsidRPr="00E21B60">
        <w:rPr>
          <w:lang w:val="en-US"/>
        </w:rPr>
        <w:t xml:space="preserve"> 2010. Conducting Meta-Analyses in </w:t>
      </w:r>
      <w:r w:rsidRPr="00E21B60">
        <w:rPr>
          <w:i/>
          <w:iCs/>
          <w:lang w:val="en-US"/>
        </w:rPr>
        <w:t>R</w:t>
      </w:r>
      <w:r w:rsidRPr="00E21B60">
        <w:rPr>
          <w:lang w:val="en-US"/>
        </w:rPr>
        <w:t xml:space="preserve"> with the </w:t>
      </w:r>
      <w:r w:rsidRPr="00E21B60">
        <w:rPr>
          <w:b/>
          <w:bCs/>
          <w:lang w:val="en-US"/>
        </w:rPr>
        <w:t>metafor</w:t>
      </w:r>
      <w:r w:rsidRPr="00E21B60">
        <w:rPr>
          <w:lang w:val="en-US"/>
        </w:rPr>
        <w:t xml:space="preserve"> Package. J. Stat. Softw. 36. Available at: http://www.jstatsoft.org/v36/i03/ [Accessed June 26, 2025].</w:t>
      </w:r>
    </w:p>
    <w:p w14:paraId="46D30861" w14:textId="77777777" w:rsidR="00E21B60" w:rsidRPr="00E21B60" w:rsidRDefault="00E21B60" w:rsidP="00E21B60">
      <w:pPr>
        <w:pStyle w:val="Bibliography"/>
        <w:rPr>
          <w:lang w:val="en-US"/>
        </w:rPr>
      </w:pPr>
      <w:r w:rsidRPr="00E21B60">
        <w:rPr>
          <w:smallCaps/>
          <w:lang w:val="en-US"/>
        </w:rPr>
        <w:t>Weckel, M.</w:t>
      </w:r>
      <w:r w:rsidRPr="00E21B60">
        <w:rPr>
          <w:lang w:val="en-US"/>
        </w:rPr>
        <w:t xml:space="preserve">, </w:t>
      </w:r>
      <w:r w:rsidRPr="00E21B60">
        <w:rPr>
          <w:smallCaps/>
          <w:lang w:val="en-US"/>
        </w:rPr>
        <w:t>W. Giuliano</w:t>
      </w:r>
      <w:r w:rsidRPr="00E21B60">
        <w:rPr>
          <w:lang w:val="en-US"/>
        </w:rPr>
        <w:t xml:space="preserve">, and </w:t>
      </w:r>
      <w:r w:rsidRPr="00E21B60">
        <w:rPr>
          <w:smallCaps/>
          <w:lang w:val="en-US"/>
        </w:rPr>
        <w:t>S. Silver</w:t>
      </w:r>
      <w:r w:rsidRPr="00E21B60">
        <w:rPr>
          <w:lang w:val="en-US"/>
        </w:rPr>
        <w:t xml:space="preserve">. 2006. Jaguar ( </w:t>
      </w:r>
      <w:r w:rsidRPr="00E21B60">
        <w:rPr>
          <w:i/>
          <w:iCs/>
          <w:lang w:val="en-US"/>
        </w:rPr>
        <w:t>Panthera onca</w:t>
      </w:r>
      <w:r w:rsidRPr="00E21B60">
        <w:rPr>
          <w:lang w:val="en-US"/>
        </w:rPr>
        <w:t xml:space="preserve"> ) feeding ecology: distribution of predator and prey through time and space. J. Zool. 270: 25–30.</w:t>
      </w:r>
    </w:p>
    <w:p w14:paraId="28F54935" w14:textId="77777777" w:rsidR="00E21B60" w:rsidRPr="00E21B60" w:rsidRDefault="00E21B60" w:rsidP="00E21B60">
      <w:pPr>
        <w:pStyle w:val="Bibliography"/>
        <w:rPr>
          <w:lang w:val="en-US"/>
        </w:rPr>
      </w:pPr>
      <w:r w:rsidRPr="00E21B60">
        <w:rPr>
          <w:smallCaps/>
          <w:lang w:val="en-US"/>
        </w:rPr>
        <w:t>Winner, K.</w:t>
      </w:r>
      <w:r w:rsidRPr="00E21B60">
        <w:rPr>
          <w:lang w:val="en-US"/>
        </w:rPr>
        <w:t xml:space="preserve">, </w:t>
      </w:r>
      <w:r w:rsidRPr="00E21B60">
        <w:rPr>
          <w:smallCaps/>
          <w:lang w:val="en-US"/>
        </w:rPr>
        <w:t>M. J. Noonan</w:t>
      </w:r>
      <w:r w:rsidRPr="00E21B60">
        <w:rPr>
          <w:lang w:val="en-US"/>
        </w:rPr>
        <w:t xml:space="preserve">, </w:t>
      </w:r>
      <w:r w:rsidRPr="00E21B60">
        <w:rPr>
          <w:smallCaps/>
          <w:lang w:val="en-US"/>
        </w:rPr>
        <w:t>C. H. Fleming</w:t>
      </w:r>
      <w:r w:rsidRPr="00E21B60">
        <w:rPr>
          <w:lang w:val="en-US"/>
        </w:rPr>
        <w:t xml:space="preserve">, </w:t>
      </w:r>
      <w:r w:rsidRPr="00E21B60">
        <w:rPr>
          <w:smallCaps/>
          <w:lang w:val="en-US"/>
        </w:rPr>
        <w:t>K. A. Olson</w:t>
      </w:r>
      <w:r w:rsidRPr="00E21B60">
        <w:rPr>
          <w:lang w:val="en-US"/>
        </w:rPr>
        <w:t xml:space="preserve">, </w:t>
      </w:r>
      <w:r w:rsidRPr="00E21B60">
        <w:rPr>
          <w:smallCaps/>
          <w:lang w:val="en-US"/>
        </w:rPr>
        <w:t>T. Mueller</w:t>
      </w:r>
      <w:r w:rsidRPr="00E21B60">
        <w:rPr>
          <w:lang w:val="en-US"/>
        </w:rPr>
        <w:t xml:space="preserve">, </w:t>
      </w:r>
      <w:r w:rsidRPr="00E21B60">
        <w:rPr>
          <w:smallCaps/>
          <w:lang w:val="en-US"/>
        </w:rPr>
        <w:t>D. Sheldon</w:t>
      </w:r>
      <w:r w:rsidRPr="00E21B60">
        <w:rPr>
          <w:lang w:val="en-US"/>
        </w:rPr>
        <w:t xml:space="preserve">, and </w:t>
      </w:r>
      <w:r w:rsidRPr="00E21B60">
        <w:rPr>
          <w:smallCaps/>
          <w:lang w:val="en-US"/>
        </w:rPr>
        <w:t>J. M. Calabrese</w:t>
      </w:r>
      <w:r w:rsidRPr="00E21B60">
        <w:rPr>
          <w:lang w:val="en-US"/>
        </w:rPr>
        <w:t>. 2018. Statistical inference for home range overlap K. Scales (Ed.). Methods Ecol. Evol. 9: 1679–1691.</w:t>
      </w:r>
    </w:p>
    <w:p w14:paraId="6506332B" w14:textId="77777777" w:rsidR="00E21B60" w:rsidRPr="00E21B60" w:rsidRDefault="00E21B60" w:rsidP="00E21B60">
      <w:pPr>
        <w:pStyle w:val="Bibliography"/>
        <w:rPr>
          <w:lang w:val="en-US"/>
        </w:rPr>
      </w:pPr>
      <w:r w:rsidRPr="00E21B60">
        <w:rPr>
          <w:smallCaps/>
          <w:lang w:val="en-US"/>
        </w:rPr>
        <w:t>Wood, S. N.</w:t>
      </w:r>
      <w:r w:rsidRPr="00E21B60">
        <w:rPr>
          <w:lang w:val="en-US"/>
        </w:rPr>
        <w:t xml:space="preserve"> 2017. Generalized Additive Models: An Introduction with R 2nd ed. Chapman and Hall/CRC Available at: https://www.taylorfrancis.com/books/9781498728348 [Accessed June 26, 2025].</w:t>
      </w:r>
    </w:p>
    <w:p w14:paraId="0A3B7954" w14:textId="39E5EC50" w:rsidR="003D4EB1" w:rsidRPr="00D11827" w:rsidRDefault="00000000" w:rsidP="00E21B60">
      <w:pPr>
        <w:pStyle w:val="Bibliography"/>
        <w:rPr>
          <w:rFonts w:ascii="Times New Roman" w:hAnsi="Times New Roman" w:cs="Times New Roman"/>
          <w:color w:val="000000" w:themeColor="text1"/>
        </w:rPr>
      </w:pPr>
      <w:r w:rsidRPr="00D11827">
        <w:rPr>
          <w:rFonts w:ascii="Times New Roman" w:hAnsi="Times New Roman" w:cs="Times New Roman"/>
          <w:color w:val="000000" w:themeColor="text1"/>
        </w:rPr>
        <w:fldChar w:fldCharType="end"/>
      </w:r>
    </w:p>
    <w:sectPr w:rsidR="003D4EB1" w:rsidRPr="00D11827">
      <w:pgSz w:w="11906" w:h="16838"/>
      <w:pgMar w:top="1440" w:right="1440" w:bottom="1440" w:left="1440" w:header="708" w:footer="708"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585A5" w14:textId="77777777" w:rsidR="00C7145E" w:rsidRDefault="00C7145E">
      <w:pPr>
        <w:spacing w:after="0" w:line="240" w:lineRule="auto"/>
      </w:pPr>
      <w:r>
        <w:separator/>
      </w:r>
    </w:p>
  </w:endnote>
  <w:endnote w:type="continuationSeparator" w:id="0">
    <w:p w14:paraId="5BA336B2" w14:textId="77777777" w:rsidR="00C7145E" w:rsidRDefault="00C71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4EC72B5-EC2C-5842-BF1C-0FF03287B090}"/>
    <w:embedBold r:id="rId2" w:fontKey="{2334646F-8CC0-004F-BDCB-F6D0EA6C6FBA}"/>
    <w:embedItalic r:id="rId3" w:fontKey="{46A79ACE-B297-2A46-878F-655B9A5A8B91}"/>
  </w:font>
  <w:font w:name="Calibri">
    <w:panose1 w:val="020F0502020204030204"/>
    <w:charset w:val="00"/>
    <w:family w:val="swiss"/>
    <w:pitch w:val="variable"/>
    <w:sig w:usb0="E0002AFF" w:usb1="C000ACFF" w:usb2="00000009" w:usb3="00000000" w:csb0="000001FF" w:csb1="00000000"/>
    <w:embedRegular r:id="rId4" w:fontKey="{0A5A5D30-32B0-BD44-ADB2-81B817013AFC}"/>
    <w:embedBold r:id="rId5" w:fontKey="{BF483CF9-BCA1-664D-BD8B-AE840A550FFF}"/>
    <w:embedItalic r:id="rId6" w:fontKey="{E1A6D9B2-0F55-4C4B-BC4D-FAA36FD38906}"/>
  </w:font>
  <w:font w:name="Cambria Math">
    <w:panose1 w:val="02040503050406030204"/>
    <w:charset w:val="00"/>
    <w:family w:val="roman"/>
    <w:pitch w:val="variable"/>
    <w:sig w:usb0="E00002FF" w:usb1="420024FF" w:usb2="00000000" w:usb3="00000000" w:csb0="0000019F" w:csb1="00000000"/>
    <w:embedRegular r:id="rId7" w:fontKey="{691E5D2B-A32D-B34E-A539-82B8112D8BF4}"/>
    <w:embedItalic r:id="rId8" w:fontKey="{06E06BD7-229B-954C-A3B2-67741E62753C}"/>
  </w:font>
  <w:font w:name="Courier New">
    <w:panose1 w:val="02070309020205020404"/>
    <w:charset w:val="00"/>
    <w:family w:val="modern"/>
    <w:pitch w:val="fixed"/>
    <w:sig w:usb0="E0002AFF" w:usb1="C0007843" w:usb2="00000009" w:usb3="00000000" w:csb0="000001FF" w:csb1="00000000"/>
    <w:embedRegular r:id="rId9" w:fontKey="{856D5B59-F35C-9648-90F3-75E546BEAFA7}"/>
  </w:font>
  <w:font w:name="Cambria">
    <w:panose1 w:val="02040503050406030204"/>
    <w:charset w:val="00"/>
    <w:family w:val="roman"/>
    <w:pitch w:val="variable"/>
    <w:sig w:usb0="E00006FF" w:usb1="420024FF" w:usb2="02000000" w:usb3="00000000" w:csb0="0000019F" w:csb1="00000000"/>
    <w:embedRegular r:id="rId10" w:fontKey="{930C8049-9FD9-A142-9090-032E7EF6B5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5D3F4" w14:textId="77777777" w:rsidR="003D4EB1" w:rsidRDefault="00000000">
    <w:pPr>
      <w:jc w:val="right"/>
    </w:pPr>
    <w:r>
      <w:fldChar w:fldCharType="begin"/>
    </w:r>
    <w:r>
      <w:instrText>PAGE</w:instrText>
    </w:r>
    <w:r>
      <w:fldChar w:fldCharType="separate"/>
    </w:r>
    <w:r w:rsidR="004B524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B1254" w14:textId="77777777" w:rsidR="00C7145E" w:rsidRDefault="00C7145E">
      <w:pPr>
        <w:spacing w:after="0" w:line="240" w:lineRule="auto"/>
      </w:pPr>
      <w:r>
        <w:separator/>
      </w:r>
    </w:p>
  </w:footnote>
  <w:footnote w:type="continuationSeparator" w:id="0">
    <w:p w14:paraId="0105E64A" w14:textId="77777777" w:rsidR="00C7145E" w:rsidRDefault="00C71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17469" w14:textId="146A9B28" w:rsidR="00D11827" w:rsidRDefault="00D11827" w:rsidP="00EB0E99">
    <w:pPr>
      <w:pStyle w:val="Header"/>
      <w:jc w:val="right"/>
    </w:pPr>
    <w:r>
      <w:rPr>
        <w:rFonts w:ascii="Times New Roman" w:hAnsi="Times New Roman" w:cs="Times New Roman"/>
        <w:color w:val="000000" w:themeColor="text1"/>
      </w:rPr>
      <w:t>SILVEIRA</w:t>
    </w:r>
    <w:r w:rsidRPr="00D11827">
      <w:rPr>
        <w:rFonts w:ascii="Times New Roman" w:hAnsi="Times New Roman" w:cs="Times New Roman"/>
        <w:color w:val="000000" w:themeColor="text1"/>
      </w:rPr>
      <w:t xml:space="preserve"> et 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62F86"/>
    <w:multiLevelType w:val="multilevel"/>
    <w:tmpl w:val="A322CC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45870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EB1"/>
    <w:rsid w:val="00094C34"/>
    <w:rsid w:val="000F10D6"/>
    <w:rsid w:val="00115B85"/>
    <w:rsid w:val="00124EB9"/>
    <w:rsid w:val="00135444"/>
    <w:rsid w:val="002709FA"/>
    <w:rsid w:val="00275849"/>
    <w:rsid w:val="003D4EB1"/>
    <w:rsid w:val="004B5243"/>
    <w:rsid w:val="004F0056"/>
    <w:rsid w:val="00514AC6"/>
    <w:rsid w:val="00676303"/>
    <w:rsid w:val="00747FB1"/>
    <w:rsid w:val="008011BD"/>
    <w:rsid w:val="008A4642"/>
    <w:rsid w:val="009063B9"/>
    <w:rsid w:val="00995712"/>
    <w:rsid w:val="00A4175A"/>
    <w:rsid w:val="00BA486A"/>
    <w:rsid w:val="00BF6DDF"/>
    <w:rsid w:val="00C7145E"/>
    <w:rsid w:val="00D11827"/>
    <w:rsid w:val="00D137C0"/>
    <w:rsid w:val="00D374F3"/>
    <w:rsid w:val="00D76E62"/>
    <w:rsid w:val="00E21B60"/>
    <w:rsid w:val="00EB0E99"/>
    <w:rsid w:val="00F36862"/>
    <w:rsid w:val="00F575D2"/>
    <w:rsid w:val="00FD69F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8F5A2EF"/>
  <w15:docId w15:val="{6B927F84-1018-034F-9265-0D34A98EB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CA"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60" w:line="480" w:lineRule="auto"/>
      <w:outlineLvl w:val="0"/>
    </w:pPr>
    <w:rPr>
      <w:b/>
      <w:bCs/>
      <w:sz w:val="36"/>
      <w:szCs w:val="36"/>
    </w:rPr>
  </w:style>
  <w:style w:type="paragraph" w:styleId="Heading2">
    <w:name w:val="heading 2"/>
    <w:basedOn w:val="Normal"/>
    <w:next w:val="Normal"/>
    <w:uiPriority w:val="9"/>
    <w:unhideWhenUsed/>
    <w:qFormat/>
    <w:pPr>
      <w:keepNext/>
      <w:keepLines/>
      <w:spacing w:after="60" w:line="360" w:lineRule="auto"/>
      <w:outlineLvl w:val="1"/>
    </w:pPr>
    <w:rPr>
      <w:b/>
      <w:bCs/>
      <w:sz w:val="32"/>
      <w:szCs w:val="32"/>
    </w:rPr>
  </w:style>
  <w:style w:type="paragraph" w:styleId="Heading3">
    <w:name w:val="heading 3"/>
    <w:basedOn w:val="Normal"/>
    <w:next w:val="Normal"/>
    <w:uiPriority w:val="9"/>
    <w:unhideWhenUsed/>
    <w:qFormat/>
    <w:pPr>
      <w:keepNext/>
      <w:keepLines/>
      <w:spacing w:after="60" w:line="360" w:lineRule="auto"/>
      <w:jc w:val="both"/>
      <w:outlineLvl w:val="2"/>
    </w:pPr>
    <w:rPr>
      <w:b/>
      <w:bCs/>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4B5243"/>
  </w:style>
  <w:style w:type="paragraph" w:styleId="Bibliography">
    <w:name w:val="Bibliography"/>
    <w:basedOn w:val="Normal"/>
    <w:next w:val="Normal"/>
    <w:uiPriority w:val="37"/>
    <w:unhideWhenUsed/>
    <w:rsid w:val="004B5243"/>
    <w:pPr>
      <w:tabs>
        <w:tab w:val="left" w:pos="500"/>
      </w:tabs>
      <w:spacing w:after="240" w:line="240" w:lineRule="auto"/>
      <w:ind w:left="720" w:hanging="720"/>
    </w:pPr>
  </w:style>
  <w:style w:type="character" w:styleId="PlaceholderText">
    <w:name w:val="Placeholder Text"/>
    <w:basedOn w:val="DefaultParagraphFont"/>
    <w:uiPriority w:val="99"/>
    <w:semiHidden/>
    <w:rsid w:val="004B5243"/>
    <w:rPr>
      <w:color w:val="666666"/>
    </w:rPr>
  </w:style>
  <w:style w:type="character" w:styleId="Hyperlink">
    <w:name w:val="Hyperlink"/>
    <w:basedOn w:val="DefaultParagraphFont"/>
    <w:uiPriority w:val="99"/>
    <w:unhideWhenUsed/>
    <w:rsid w:val="00D11827"/>
    <w:rPr>
      <w:color w:val="0000FF" w:themeColor="hyperlink"/>
      <w:u w:val="single"/>
    </w:rPr>
  </w:style>
  <w:style w:type="character" w:styleId="UnresolvedMention">
    <w:name w:val="Unresolved Mention"/>
    <w:basedOn w:val="DefaultParagraphFont"/>
    <w:uiPriority w:val="99"/>
    <w:semiHidden/>
    <w:unhideWhenUsed/>
    <w:rsid w:val="00D11827"/>
    <w:rPr>
      <w:color w:val="605E5C"/>
      <w:shd w:val="clear" w:color="auto" w:fill="E1DFDD"/>
    </w:rPr>
  </w:style>
  <w:style w:type="paragraph" w:styleId="Header">
    <w:name w:val="header"/>
    <w:basedOn w:val="Normal"/>
    <w:link w:val="HeaderChar"/>
    <w:uiPriority w:val="99"/>
    <w:unhideWhenUsed/>
    <w:rsid w:val="00D118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1827"/>
  </w:style>
  <w:style w:type="paragraph" w:styleId="Footer">
    <w:name w:val="footer"/>
    <w:basedOn w:val="Normal"/>
    <w:link w:val="FooterChar"/>
    <w:uiPriority w:val="99"/>
    <w:unhideWhenUsed/>
    <w:rsid w:val="00D118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1827"/>
  </w:style>
  <w:style w:type="paragraph" w:styleId="ListParagraph">
    <w:name w:val="List Paragraph"/>
    <w:basedOn w:val="Normal"/>
    <w:uiPriority w:val="34"/>
    <w:qFormat/>
    <w:rsid w:val="00EB0E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mapbiomas.org"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mapbiomas.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QuantitativeEcologyLab/maraca_jaguar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mapbiomas.org" TargetMode="External"/><Relationship Id="rId4" Type="http://schemas.openxmlformats.org/officeDocument/2006/relationships/webSettings" Target="webSettings.xml"/><Relationship Id="rId9" Type="http://schemas.openxmlformats.org/officeDocument/2006/relationships/hyperlink" Target="http://mapbiomas.org" TargetMode="External"/><Relationship Id="rId14" Type="http://schemas.openxmlformats.org/officeDocument/2006/relationships/hyperlink" Target="https://github.com/QuantitativeEcologyLab/island_jaguar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34</Pages>
  <Words>44365</Words>
  <Characters>252881</Characters>
  <Application>Microsoft Office Word</Application>
  <DocSecurity>0</DocSecurity>
  <Lines>2107</Lines>
  <Paragraphs>593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Noonan, Michael</cp:lastModifiedBy>
  <cp:revision>11</cp:revision>
  <dcterms:created xsi:type="dcterms:W3CDTF">2025-12-11T18:21:00Z</dcterms:created>
  <dcterms:modified xsi:type="dcterms:W3CDTF">2026-01-19T19:51:00Z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{"style":{"styleID":"http://www.zotero.org/styles/biotropica","hasBibliography":true,"bibliographyStyleHasBeenSet":true},"prefs":{"fieldType":"Field","automaticJournalAbbreviations":true,"delayCitationUpdates":false,"noteType":0},"sessionID":"PF69gosZ","z</vt:lpwstr>
  </property>
  <property fmtid="{D5CDD505-2E9C-101B-9397-08002B2CF9AE}" pid="3" name="ZOTERO_PREF_2">
    <vt:lpwstr>oteroVersion":"7.0.31","dataVersion":4}</vt:lpwstr>
  </property>
</Properties>
</file>