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CONSULTING AGREEMENT</w:t>
      </w:r>
    </w:p>
    <w:p>
      <w:r>
        <w:t>SAMPLE DOCUMENT — fictional test fixture.</w:t>
      </w:r>
    </w:p>
    <w:p>
      <w:r>
        <w:t>This Consulting Agreement is made between Aster Labs AB (the "Client") and Birch Advisory Ltd (the "Consultant").</w:t>
      </w:r>
    </w:p>
    <w:p>
      <w:r>
        <w:t>1. Fees</w:t>
      </w:r>
    </w:p>
    <w:p>
      <w:r>
        <w:t>The Client shall pay each invoice within 30 days of the date of the invoice.</w:t>
      </w:r>
    </w:p>
    <w:p>
      <w:r>
        <w:t>2. Governing Law</w:t>
      </w:r>
    </w:p>
    <w:p>
      <w:r>
        <w:t>This Agreement shall be governed by the laws of Sweden.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