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Business Requirements Document (BRD)</w:t>
      </w:r>
    </w:p>
    <w:p>
      <w:pPr>
        <w:pStyle w:val="Subtitle"/>
        <w:jc w:val="center"/>
      </w:pPr>
      <w:r>
        <w:t>YOU BANK – Banking Application</w:t>
      </w:r>
    </w:p>
    <w:p>
      <w:pPr>
        <w:pStyle w:val="Heading1"/>
      </w:pPr>
      <w:r>
        <w:t>Executive Summary</w:t>
      </w:r>
    </w:p>
    <w:p>
      <w:pPr/>
      <w:r>
        <w:t>YOU BANK is a web application offering three primary retail banking services via a tabbed interface: Internet Banking, Loans, and Mortgages. The homepage hosts advertisements promoting loans and high interest rates on deposits, and an inline login module. The UI color scheme is red and blue throughout.</w:t>
      </w:r>
    </w:p>
    <w:p>
      <w:pPr>
        <w:pStyle w:val="Heading1"/>
      </w:pPr>
      <w:r>
        <w:t>Objectives &amp; Scope</w:t>
      </w:r>
    </w:p>
    <w:p>
      <w:pPr>
        <w:pStyle w:val="Heading2"/>
      </w:pPr>
      <w:r>
        <w:t>Objectives:</w:t>
      </w:r>
    </w:p>
    <w:p>
      <w:pPr>
        <w:pStyle w:val="ListBullet"/>
      </w:pPr>
      <w:r>
        <w:t>- Provide a secure, intuitive, and responsive web app for customers to manage everyday banking transactions.</w:t>
      </w:r>
    </w:p>
    <w:p>
      <w:pPr>
        <w:pStyle w:val="ListBullet"/>
      </w:pPr>
      <w:r>
        <w:t>- Enable customers to view and manage loans and mortgages with clear repayment progress.</w:t>
      </w:r>
    </w:p>
    <w:p>
      <w:pPr>
        <w:pStyle w:val="ListBullet"/>
      </w:pPr>
      <w:r>
        <w:t>- Promote loan products via targeted, compliant advertising on the homepage.</w:t>
      </w:r>
    </w:p>
    <w:p>
      <w:pPr>
        <w:pStyle w:val="Heading2"/>
      </w:pPr>
      <w:r>
        <w:t>In-Scope Features:</w:t>
      </w:r>
    </w:p>
    <w:p>
      <w:pPr>
        <w:pStyle w:val="ListBullet"/>
      </w:pPr>
      <w:r>
        <w:t>- Login Module (homepage inline and dedicated route)</w:t>
      </w:r>
    </w:p>
    <w:p>
      <w:pPr>
        <w:pStyle w:val="ListBullet"/>
      </w:pPr>
      <w:r>
        <w:t>- Internet Banking Tab with account summary and transaction table</w:t>
      </w:r>
    </w:p>
    <w:p>
      <w:pPr>
        <w:pStyle w:val="ListBullet"/>
      </w:pPr>
      <w:r>
        <w:t>- Loans Tab showing loan overview with 20% repaid</w:t>
      </w:r>
    </w:p>
    <w:p>
      <w:pPr>
        <w:pStyle w:val="ListBullet"/>
      </w:pPr>
      <w:r>
        <w:t>- Mortgages Tab showing INR 45,00,000 mortgage with 90% repaid</w:t>
      </w:r>
    </w:p>
    <w:p>
      <w:pPr>
        <w:pStyle w:val="ListBullet"/>
      </w:pPr>
      <w:r>
        <w:t>- Homepage Ads for loans and high interest deposits</w:t>
      </w:r>
    </w:p>
    <w:p>
      <w:pPr>
        <w:pStyle w:val="Heading1"/>
      </w:pPr>
      <w:r>
        <w:t>Internet Banking</w:t>
      </w:r>
    </w:p>
    <w:p>
      <w:pPr>
        <w:pStyle w:val="Heading2"/>
      </w:pPr>
      <w:r>
        <w:t>Features:</w:t>
      </w:r>
    </w:p>
    <w:p>
      <w:pPr>
        <w:pStyle w:val="ListBullet"/>
      </w:pPr>
      <w:r>
        <w:t>- Account summary with masked account number and balance.</w:t>
      </w:r>
    </w:p>
    <w:p>
      <w:pPr>
        <w:pStyle w:val="ListBullet"/>
      </w:pPr>
      <w:r>
        <w:t>- Transaction table with debits and credits.</w:t>
      </w:r>
    </w:p>
    <w:p>
      <w:pPr>
        <w:pStyle w:val="Heading2"/>
      </w:pPr>
      <w:r>
        <w:t>Additional Feature:</w:t>
      </w:r>
    </w:p>
    <w:p>
      <w:pPr/>
      <w:r>
        <w:t>Provide an option for users to download their transaction history as Excel (.xlsx) or PDF format for record-keeping.</w:t>
      </w:r>
    </w:p>
    <w:p>
      <w:pPr>
        <w:pStyle w:val="Heading2"/>
      </w:pPr>
      <w:r>
        <w:t>Sample Transaction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Date</w:t>
            </w:r>
          </w:p>
        </w:tc>
        <w:tc>
          <w:tcPr>
            <w:tcW w:type="dxa" w:w="1872"/>
          </w:tcPr>
          <w:p>
            <w:r>
              <w:rPr>
                <w:b/>
              </w:rPr>
              <w:t>Description</w:t>
            </w:r>
          </w:p>
        </w:tc>
        <w:tc>
          <w:tcPr>
            <w:tcW w:type="dxa" w:w="1872"/>
          </w:tcPr>
          <w:p>
            <w:r>
              <w:rPr>
                <w:b/>
              </w:rPr>
              <w:t>Type</w:t>
            </w:r>
          </w:p>
        </w:tc>
        <w:tc>
          <w:tcPr>
            <w:tcW w:type="dxa" w:w="1872"/>
          </w:tcPr>
          <w:p>
            <w:r>
              <w:rPr>
                <w:b/>
              </w:rPr>
              <w:t>Amount (INR)</w:t>
            </w:r>
          </w:p>
        </w:tc>
        <w:tc>
          <w:tcPr>
            <w:tcW w:type="dxa" w:w="1872"/>
          </w:tcPr>
          <w:p>
            <w:r>
              <w:rPr>
                <w:b/>
              </w:rPr>
              <w:t>Balance (INR)</w:t>
            </w:r>
          </w:p>
        </w:tc>
      </w:tr>
      <w:tr>
        <w:tc>
          <w:tcPr>
            <w:tcW w:type="dxa" w:w="1872"/>
          </w:tcPr>
          <w:p>
            <w:pPr>
              <w:jc w:val="center"/>
            </w:pPr>
            <w:r>
              <w:t>2025-10-03</w:t>
            </w:r>
          </w:p>
        </w:tc>
        <w:tc>
          <w:tcPr>
            <w:tcW w:type="dxa" w:w="1872"/>
          </w:tcPr>
          <w:p>
            <w:pPr>
              <w:jc w:val="center"/>
            </w:pPr>
            <w:r>
              <w:t>Salary Credit</w:t>
            </w:r>
          </w:p>
        </w:tc>
        <w:tc>
          <w:tcPr>
            <w:tcW w:type="dxa" w:w="1872"/>
          </w:tcPr>
          <w:p>
            <w:pPr>
              <w:jc w:val="center"/>
            </w:pPr>
            <w:r>
              <w:t>Credit</w:t>
            </w:r>
          </w:p>
        </w:tc>
        <w:tc>
          <w:tcPr>
            <w:tcW w:type="dxa" w:w="1872"/>
          </w:tcPr>
          <w:p>
            <w:pPr>
              <w:jc w:val="center"/>
            </w:pPr>
            <w:r>
              <w:t>1,50,000</w:t>
            </w:r>
          </w:p>
        </w:tc>
        <w:tc>
          <w:tcPr>
            <w:tcW w:type="dxa" w:w="1872"/>
          </w:tcPr>
          <w:p>
            <w:pPr>
              <w:jc w:val="center"/>
            </w:pPr>
            <w:r>
              <w:t>5,25,430</w:t>
            </w:r>
          </w:p>
        </w:tc>
      </w:tr>
      <w:tr>
        <w:tc>
          <w:tcPr>
            <w:tcW w:type="dxa" w:w="1872"/>
          </w:tcPr>
          <w:p>
            <w:pPr>
              <w:jc w:val="center"/>
            </w:pPr>
            <w:r>
              <w:t>2025-10-05</w:t>
            </w:r>
          </w:p>
        </w:tc>
        <w:tc>
          <w:tcPr>
            <w:tcW w:type="dxa" w:w="1872"/>
          </w:tcPr>
          <w:p>
            <w:pPr>
              <w:jc w:val="center"/>
            </w:pPr>
            <w:r>
              <w:t>Rent Payment</w:t>
            </w:r>
          </w:p>
        </w:tc>
        <w:tc>
          <w:tcPr>
            <w:tcW w:type="dxa" w:w="1872"/>
          </w:tcPr>
          <w:p>
            <w:pPr>
              <w:jc w:val="center"/>
            </w:pPr>
            <w:r>
              <w:t>Debit</w:t>
            </w:r>
          </w:p>
        </w:tc>
        <w:tc>
          <w:tcPr>
            <w:tcW w:type="dxa" w:w="1872"/>
          </w:tcPr>
          <w:p>
            <w:pPr>
              <w:jc w:val="center"/>
            </w:pPr>
            <w:r>
              <w:t>45,000</w:t>
            </w:r>
          </w:p>
        </w:tc>
        <w:tc>
          <w:tcPr>
            <w:tcW w:type="dxa" w:w="1872"/>
          </w:tcPr>
          <w:p>
            <w:pPr>
              <w:jc w:val="center"/>
            </w:pPr>
            <w:r>
              <w:t>4,80,430</w:t>
            </w:r>
          </w:p>
        </w:tc>
      </w:tr>
      <w:tr>
        <w:tc>
          <w:tcPr>
            <w:tcW w:type="dxa" w:w="1872"/>
          </w:tcPr>
          <w:p>
            <w:pPr>
              <w:jc w:val="center"/>
            </w:pPr>
            <w:r>
              <w:t>2025-10-07</w:t>
            </w:r>
          </w:p>
        </w:tc>
        <w:tc>
          <w:tcPr>
            <w:tcW w:type="dxa" w:w="1872"/>
          </w:tcPr>
          <w:p>
            <w:pPr>
              <w:jc w:val="center"/>
            </w:pPr>
            <w:r>
              <w:t>Grocery Store</w:t>
            </w:r>
          </w:p>
        </w:tc>
        <w:tc>
          <w:tcPr>
            <w:tcW w:type="dxa" w:w="1872"/>
          </w:tcPr>
          <w:p>
            <w:pPr>
              <w:jc w:val="center"/>
            </w:pPr>
            <w:r>
              <w:t>Debit</w:t>
            </w:r>
          </w:p>
        </w:tc>
        <w:tc>
          <w:tcPr>
            <w:tcW w:type="dxa" w:w="1872"/>
          </w:tcPr>
          <w:p>
            <w:pPr>
              <w:jc w:val="center"/>
            </w:pPr>
            <w:r>
              <w:t>3,950</w:t>
            </w:r>
          </w:p>
        </w:tc>
        <w:tc>
          <w:tcPr>
            <w:tcW w:type="dxa" w:w="1872"/>
          </w:tcPr>
          <w:p>
            <w:pPr>
              <w:jc w:val="center"/>
            </w:pPr>
            <w:r>
              <w:t>4,76,480</w:t>
            </w:r>
          </w:p>
        </w:tc>
      </w:tr>
      <w:tr>
        <w:tc>
          <w:tcPr>
            <w:tcW w:type="dxa" w:w="1872"/>
          </w:tcPr>
          <w:p>
            <w:pPr>
              <w:jc w:val="center"/>
            </w:pPr>
            <w:r>
              <w:t>2025-10-10</w:t>
            </w:r>
          </w:p>
        </w:tc>
        <w:tc>
          <w:tcPr>
            <w:tcW w:type="dxa" w:w="1872"/>
          </w:tcPr>
          <w:p>
            <w:pPr>
              <w:jc w:val="center"/>
            </w:pPr>
            <w:r>
              <w:t>Refund: E-comm</w:t>
            </w:r>
          </w:p>
        </w:tc>
        <w:tc>
          <w:tcPr>
            <w:tcW w:type="dxa" w:w="1872"/>
          </w:tcPr>
          <w:p>
            <w:pPr>
              <w:jc w:val="center"/>
            </w:pPr>
            <w:r>
              <w:t>Credit</w:t>
            </w:r>
          </w:p>
        </w:tc>
        <w:tc>
          <w:tcPr>
            <w:tcW w:type="dxa" w:w="1872"/>
          </w:tcPr>
          <w:p>
            <w:pPr>
              <w:jc w:val="center"/>
            </w:pPr>
            <w:r>
              <w:t>2,100</w:t>
            </w:r>
          </w:p>
        </w:tc>
        <w:tc>
          <w:tcPr>
            <w:tcW w:type="dxa" w:w="1872"/>
          </w:tcPr>
          <w:p>
            <w:pPr>
              <w:jc w:val="center"/>
            </w:pPr>
            <w:r>
              <w:t>4,78,580</w:t>
            </w:r>
          </w:p>
        </w:tc>
      </w:tr>
      <w:tr>
        <w:tc>
          <w:tcPr>
            <w:tcW w:type="dxa" w:w="1872"/>
          </w:tcPr>
          <w:p>
            <w:pPr>
              <w:jc w:val="center"/>
            </w:pPr>
            <w:r>
              <w:t>2025-10-12</w:t>
            </w:r>
          </w:p>
        </w:tc>
        <w:tc>
          <w:tcPr>
            <w:tcW w:type="dxa" w:w="1872"/>
          </w:tcPr>
          <w:p>
            <w:pPr>
              <w:jc w:val="center"/>
            </w:pPr>
            <w:r>
              <w:t>Electricity Bill</w:t>
            </w:r>
          </w:p>
        </w:tc>
        <w:tc>
          <w:tcPr>
            <w:tcW w:type="dxa" w:w="1872"/>
          </w:tcPr>
          <w:p>
            <w:pPr>
              <w:jc w:val="center"/>
            </w:pPr>
            <w:r>
              <w:t>Debit</w:t>
            </w:r>
          </w:p>
        </w:tc>
        <w:tc>
          <w:tcPr>
            <w:tcW w:type="dxa" w:w="1872"/>
          </w:tcPr>
          <w:p>
            <w:pPr>
              <w:jc w:val="center"/>
            </w:pPr>
            <w:r>
              <w:t>2,300</w:t>
            </w:r>
          </w:p>
        </w:tc>
        <w:tc>
          <w:tcPr>
            <w:tcW w:type="dxa" w:w="1872"/>
          </w:tcPr>
          <w:p>
            <w:pPr>
              <w:jc w:val="center"/>
            </w:pPr>
            <w:r>
              <w:t>4,76,280</w:t>
            </w:r>
          </w:p>
        </w:tc>
      </w:tr>
    </w:tbl>
    <w:p>
      <w:pPr>
        <w:pStyle w:val="Heading1"/>
      </w:pPr>
      <w:r>
        <w:t>Loans</w:t>
      </w:r>
    </w:p>
    <w:p>
      <w:pPr>
        <w:pStyle w:val="Heading2"/>
      </w:pPr>
      <w:r>
        <w:t>Loan Overview:</w:t>
      </w:r>
    </w:p>
    <w:p>
      <w:pPr/>
      <w:r>
        <w:t>Loan Principal: INR 10,00,000 | Repaid: 20% | Outstanding: INR 8,00,000</w:t>
      </w:r>
    </w:p>
    <w:p>
      <w:pPr>
        <w:pStyle w:val="Heading2"/>
      </w:pPr>
      <w:r>
        <w:t>Loan Repayment Schedule: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Installment No</w:t>
            </w:r>
          </w:p>
        </w:tc>
        <w:tc>
          <w:tcPr>
            <w:tcW w:type="dxa" w:w="1560"/>
          </w:tcPr>
          <w:p>
            <w:r>
              <w:rPr>
                <w:b/>
              </w:rPr>
              <w:t>Date</w:t>
            </w:r>
          </w:p>
        </w:tc>
        <w:tc>
          <w:tcPr>
            <w:tcW w:type="dxa" w:w="1560"/>
          </w:tcPr>
          <w:p>
            <w:r>
              <w:rPr>
                <w:b/>
              </w:rPr>
              <w:t>Principal Component</w:t>
            </w:r>
          </w:p>
        </w:tc>
        <w:tc>
          <w:tcPr>
            <w:tcW w:type="dxa" w:w="1560"/>
          </w:tcPr>
          <w:p>
            <w:r>
              <w:rPr>
                <w:b/>
              </w:rPr>
              <w:t>Interest Component</w:t>
            </w:r>
          </w:p>
        </w:tc>
        <w:tc>
          <w:tcPr>
            <w:tcW w:type="dxa" w:w="1560"/>
          </w:tcPr>
          <w:p>
            <w:r>
              <w:rPr>
                <w:b/>
              </w:rPr>
              <w:t>Total Payment</w:t>
            </w:r>
          </w:p>
        </w:tc>
        <w:tc>
          <w:tcPr>
            <w:tcW w:type="dxa" w:w="1560"/>
          </w:tcPr>
          <w:p>
            <w:r>
              <w:rPr>
                <w:b/>
              </w:rPr>
              <w:t>Remaining Balance</w:t>
            </w:r>
          </w:p>
        </w:tc>
      </w:tr>
      <w:tr>
        <w:tc>
          <w:tcPr>
            <w:tcW w:type="dxa" w:w="1560"/>
          </w:tcPr>
          <w:p>
            <w:pPr>
              <w:jc w:val="center"/>
            </w:pPr>
            <w:r>
              <w:t>1</w:t>
            </w:r>
          </w:p>
        </w:tc>
        <w:tc>
          <w:tcPr>
            <w:tcW w:type="dxa" w:w="1560"/>
          </w:tcPr>
          <w:p>
            <w:pPr>
              <w:jc w:val="center"/>
            </w:pPr>
            <w:r>
              <w:t>2025-11-01</w:t>
            </w:r>
          </w:p>
        </w:tc>
        <w:tc>
          <w:tcPr>
            <w:tcW w:type="dxa" w:w="1560"/>
          </w:tcPr>
          <w:p>
            <w:pPr>
              <w:jc w:val="center"/>
            </w:pPr>
            <w:r>
              <w:t>20,000</w:t>
            </w:r>
          </w:p>
        </w:tc>
        <w:tc>
          <w:tcPr>
            <w:tcW w:type="dxa" w:w="1560"/>
          </w:tcPr>
          <w:p>
            <w:pPr>
              <w:jc w:val="center"/>
            </w:pPr>
            <w:r>
              <w:t>10,000</w:t>
            </w:r>
          </w:p>
        </w:tc>
        <w:tc>
          <w:tcPr>
            <w:tcW w:type="dxa" w:w="1560"/>
          </w:tcPr>
          <w:p>
            <w:pPr>
              <w:jc w:val="center"/>
            </w:pPr>
            <w:r>
              <w:t>30,000</w:t>
            </w:r>
          </w:p>
        </w:tc>
        <w:tc>
          <w:tcPr>
            <w:tcW w:type="dxa" w:w="1560"/>
          </w:tcPr>
          <w:p>
            <w:pPr>
              <w:jc w:val="center"/>
            </w:pPr>
            <w:r>
              <w:t>9,70,000</w:t>
            </w:r>
          </w:p>
        </w:tc>
      </w:tr>
      <w:tr>
        <w:tc>
          <w:tcPr>
            <w:tcW w:type="dxa" w:w="1560"/>
          </w:tcPr>
          <w:p>
            <w:pPr>
              <w:jc w:val="center"/>
            </w:pPr>
            <w:r>
              <w:t>2</w:t>
            </w:r>
          </w:p>
        </w:tc>
        <w:tc>
          <w:tcPr>
            <w:tcW w:type="dxa" w:w="1560"/>
          </w:tcPr>
          <w:p>
            <w:pPr>
              <w:jc w:val="center"/>
            </w:pPr>
            <w:r>
              <w:t>2025-12-01</w:t>
            </w:r>
          </w:p>
        </w:tc>
        <w:tc>
          <w:tcPr>
            <w:tcW w:type="dxa" w:w="1560"/>
          </w:tcPr>
          <w:p>
            <w:pPr>
              <w:jc w:val="center"/>
            </w:pPr>
            <w:r>
              <w:t>20,000</w:t>
            </w:r>
          </w:p>
        </w:tc>
        <w:tc>
          <w:tcPr>
            <w:tcW w:type="dxa" w:w="1560"/>
          </w:tcPr>
          <w:p>
            <w:pPr>
              <w:jc w:val="center"/>
            </w:pPr>
            <w:r>
              <w:t>9,800</w:t>
            </w:r>
          </w:p>
        </w:tc>
        <w:tc>
          <w:tcPr>
            <w:tcW w:type="dxa" w:w="1560"/>
          </w:tcPr>
          <w:p>
            <w:pPr>
              <w:jc w:val="center"/>
            </w:pPr>
            <w:r>
              <w:t>29,800</w:t>
            </w:r>
          </w:p>
        </w:tc>
        <w:tc>
          <w:tcPr>
            <w:tcW w:type="dxa" w:w="1560"/>
          </w:tcPr>
          <w:p>
            <w:pPr>
              <w:jc w:val="center"/>
            </w:pPr>
            <w:r>
              <w:t>9,50,200</w:t>
            </w:r>
          </w:p>
        </w:tc>
      </w:tr>
      <w:tr>
        <w:tc>
          <w:tcPr>
            <w:tcW w:type="dxa" w:w="1560"/>
          </w:tcPr>
          <w:p>
            <w:pPr>
              <w:jc w:val="center"/>
            </w:pPr>
            <w:r>
              <w:t>3</w:t>
            </w:r>
          </w:p>
        </w:tc>
        <w:tc>
          <w:tcPr>
            <w:tcW w:type="dxa" w:w="1560"/>
          </w:tcPr>
          <w:p>
            <w:pPr>
              <w:jc w:val="center"/>
            </w:pPr>
            <w:r>
              <w:t>2026-01-01</w:t>
            </w:r>
          </w:p>
        </w:tc>
        <w:tc>
          <w:tcPr>
            <w:tcW w:type="dxa" w:w="1560"/>
          </w:tcPr>
          <w:p>
            <w:pPr>
              <w:jc w:val="center"/>
            </w:pPr>
            <w:r>
              <w:t>20,000</w:t>
            </w:r>
          </w:p>
        </w:tc>
        <w:tc>
          <w:tcPr>
            <w:tcW w:type="dxa" w:w="1560"/>
          </w:tcPr>
          <w:p>
            <w:pPr>
              <w:jc w:val="center"/>
            </w:pPr>
            <w:r>
              <w:t>9,600</w:t>
            </w:r>
          </w:p>
        </w:tc>
        <w:tc>
          <w:tcPr>
            <w:tcW w:type="dxa" w:w="1560"/>
          </w:tcPr>
          <w:p>
            <w:pPr>
              <w:jc w:val="center"/>
            </w:pPr>
            <w:r>
              <w:t>29,600</w:t>
            </w:r>
          </w:p>
        </w:tc>
        <w:tc>
          <w:tcPr>
            <w:tcW w:type="dxa" w:w="1560"/>
          </w:tcPr>
          <w:p>
            <w:pPr>
              <w:jc w:val="center"/>
            </w:pPr>
            <w:r>
              <w:t>9,30,600</w:t>
            </w:r>
          </w:p>
        </w:tc>
      </w:tr>
    </w:tbl>
    <w:p>
      <w:pPr>
        <w:pStyle w:val="Heading1"/>
      </w:pPr>
      <w:r>
        <w:t>Mortgages</w:t>
      </w:r>
    </w:p>
    <w:p>
      <w:pPr>
        <w:pStyle w:val="Heading2"/>
      </w:pPr>
      <w:r>
        <w:t>Mortgage Overview:</w:t>
      </w:r>
    </w:p>
    <w:p>
      <w:pPr/>
      <w:r>
        <w:t>Mortgage Principal: INR 45,00,000 | Repaid: 90% | Outstanding: INR 4,50,000</w:t>
      </w:r>
    </w:p>
    <w:p>
      <w:pPr>
        <w:pStyle w:val="Heading2"/>
      </w:pPr>
      <w:r>
        <w:t>Optional Add-On Services:</w:t>
      </w:r>
    </w:p>
    <w:p>
      <w:pPr>
        <w:pStyle w:val="ListBullet"/>
      </w:pPr>
      <w:r>
        <w:t>- Mortgage Insurance</w:t>
      </w:r>
    </w:p>
    <w:p>
      <w:pPr>
        <w:pStyle w:val="ListBullet"/>
      </w:pPr>
      <w:r>
        <w:t>- Home Maintenance Package</w:t>
      </w:r>
    </w:p>
    <w:p>
      <w:pPr>
        <w:pStyle w:val="ListBullet"/>
      </w:pPr>
      <w:r>
        <w:t>- Property Tax Assistance</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a8c544ca-bb84-4280-906e-934547e1d30c_Enabled">
    <vt:lpwstr>True</vt:lpwstr>
  </property>
  <property fmtid="{D5CDD505-2E9C-101B-9397-08002B2CF9AE}" pid="3" name="MSIP_Label_a8c544ca-bb84-4280-906e-934547e1d30c_SiteId">
    <vt:lpwstr>258ac4e4-146a-411e-9dc8-79a9e12fd6da</vt:lpwstr>
  </property>
  <property fmtid="{D5CDD505-2E9C-101B-9397-08002B2CF9AE}" pid="4" name="MSIP_Label_a8c544ca-bb84-4280-906e-934547e1d30c_SetDate">
    <vt:lpwstr>2025-11-10T05:46:06Z</vt:lpwstr>
  </property>
  <property fmtid="{D5CDD505-2E9C-101B-9397-08002B2CF9AE}" pid="5" name="MSIP_Label_a8c544ca-bb84-4280-906e-934547e1d30c_Name">
    <vt:lpwstr>Internal - General Use</vt:lpwstr>
  </property>
  <property fmtid="{D5CDD505-2E9C-101B-9397-08002B2CF9AE}" pid="6" name="MSIP_Label_a8c544ca-bb84-4280-906e-934547e1d30c_ActionId">
    <vt:lpwstr>141fefaa-3c47-41f1-8448-098b04a2c5e7</vt:lpwstr>
  </property>
  <property fmtid="{D5CDD505-2E9C-101B-9397-08002B2CF9AE}" pid="7" name="MSIP_Label_a8c544ca-bb84-4280-906e-934547e1d30c_Removed">
    <vt:lpwstr>False</vt:lpwstr>
  </property>
  <property fmtid="{D5CDD505-2E9C-101B-9397-08002B2CF9AE}" pid="8" name="MSIP_Label_a8c544ca-bb84-4280-906e-934547e1d30c_Extended_MSFT_Method">
    <vt:lpwstr>Standard</vt:lpwstr>
  </property>
  <property fmtid="{D5CDD505-2E9C-101B-9397-08002B2CF9AE}" pid="9" name="Sensitivity">
    <vt:lpwstr>Internal - General Use</vt:lpwstr>
  </property>
</Properties>
</file>