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Document Title</w:t>
            </w:r>
          </w:p>
        </w:tc>
        <w:tc>
          <w:tcPr>
            <w:tcW w:type="dxa" w:w="4320"/>
          </w:tcPr>
          <w:p>
            <w:r>
              <w:t>YOU BANK – Banking Application – Business Requirements Document</w:t>
            </w:r>
          </w:p>
        </w:tc>
      </w:tr>
      <w:tr>
        <w:tc>
          <w:tcPr>
            <w:tcW w:type="dxa" w:w="4320"/>
          </w:tcPr>
          <w:p>
            <w:r>
              <w:t>Version</w:t>
            </w:r>
          </w:p>
        </w:tc>
        <w:tc>
          <w:tcPr>
            <w:tcW w:type="dxa" w:w="4320"/>
          </w:tcPr>
          <w:p>
            <w:r>
              <w:t>V3.0 (Updated)</w:t>
            </w:r>
          </w:p>
        </w:tc>
      </w:tr>
      <w:tr>
        <w:tc>
          <w:tcPr>
            <w:tcW w:type="dxa" w:w="4320"/>
          </w:tcPr>
          <w:p>
            <w:r>
              <w:t>Prepared By</w:t>
            </w:r>
          </w:p>
        </w:tc>
        <w:tc>
          <w:tcPr>
            <w:tcW w:type="dxa" w:w="4320"/>
          </w:tcPr>
          <w:p>
            <w:r>
              <w:t>Rohan Kanhai (Project Engineer)</w:t>
            </w:r>
          </w:p>
        </w:tc>
      </w:tr>
      <w:tr>
        <w:tc>
          <w:tcPr>
            <w:tcW w:type="dxa" w:w="4320"/>
          </w:tcPr>
          <w:p>
            <w:r>
              <w:t>Last Updated</w:t>
            </w:r>
          </w:p>
        </w:tc>
        <w:tc>
          <w:tcPr>
            <w:tcW w:type="dxa" w:w="4320"/>
          </w:tcPr>
          <w:p>
            <w:r>
              <w:t>2026-05-04</w:t>
            </w:r>
          </w:p>
        </w:tc>
      </w:tr>
      <w:tr>
        <w:tc>
          <w:tcPr>
            <w:tcW w:type="dxa" w:w="4320"/>
          </w:tcPr>
          <w:p>
            <w:r>
              <w:t>Status</w:t>
            </w:r>
          </w:p>
        </w:tc>
        <w:tc>
          <w:tcPr>
            <w:tcW w:type="dxa" w:w="4320"/>
          </w:tcPr>
          <w:p>
            <w:r>
              <w:t>Draft for Review</w:t>
            </w:r>
          </w:p>
        </w:tc>
      </w:tr>
    </w:tbl>
    <w:p/>
    <w:p>
      <w:pPr>
        <w:pStyle w:val="Heading2"/>
      </w:pPr>
      <w:r>
        <w:t>Change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Owner</w:t>
            </w:r>
          </w:p>
        </w:tc>
        <w:tc>
          <w:tcPr>
            <w:tcW w:type="dxa" w:w="2160"/>
          </w:tcPr>
          <w:p>
            <w:r>
              <w:t>Summary of Changes</w:t>
            </w:r>
          </w:p>
        </w:tc>
      </w:tr>
      <w:tr>
        <w:tc>
          <w:tcPr>
            <w:tcW w:type="dxa" w:w="2160"/>
          </w:tcPr>
          <w:p>
            <w:r>
              <w:t>V2.0</w:t>
            </w:r>
          </w:p>
        </w:tc>
        <w:tc>
          <w:tcPr>
            <w:tcW w:type="dxa" w:w="2160"/>
          </w:tcPr>
          <w:p>
            <w:r>
              <w:t>(from source)</w:t>
            </w:r>
          </w:p>
        </w:tc>
        <w:tc>
          <w:tcPr>
            <w:tcW w:type="dxa" w:w="2160"/>
          </w:tcPr>
          <w:p>
            <w:r>
              <w:t>—</w:t>
            </w:r>
          </w:p>
        </w:tc>
        <w:tc>
          <w:tcPr>
            <w:tcW w:type="dxa" w:w="2160"/>
          </w:tcPr>
          <w:p>
            <w:r>
              <w:t>Baseline BRD</w:t>
            </w:r>
          </w:p>
        </w:tc>
      </w:tr>
      <w:tr>
        <w:tc>
          <w:tcPr>
            <w:tcW w:type="dxa" w:w="2160"/>
          </w:tcPr>
          <w:p>
            <w:r>
              <w:t>V3.0</w:t>
            </w:r>
          </w:p>
        </w:tc>
        <w:tc>
          <w:tcPr>
            <w:tcW w:type="dxa" w:w="2160"/>
          </w:tcPr>
          <w:p>
            <w:r>
              <w:t>2026-05-04</w:t>
            </w:r>
          </w:p>
        </w:tc>
        <w:tc>
          <w:tcPr>
            <w:tcW w:type="dxa" w:w="2160"/>
          </w:tcPr>
          <w:p>
            <w:r>
              <w:t>Rohan Kanhai</w:t>
            </w:r>
          </w:p>
        </w:tc>
        <w:tc>
          <w:tcPr>
            <w:tcW w:type="dxa" w:w="2160"/>
          </w:tcPr>
          <w:p>
            <w:r>
              <w:t>Added security, NFRs, compliance, assumptions/out-of-scope, error handling, accessibility; enhanced Internet Banking downloads; expanded Loans/Mortgages; aligned loan schedule with 20% repaid; added ads compliance rules.</w:t>
            </w:r>
          </w:p>
        </w:tc>
      </w:tr>
    </w:tbl>
    <w:p>
      <w:r>
        <w:br w:type="page"/>
      </w:r>
    </w:p>
    <w:p>
      <w:pPr>
        <w:pStyle w:val="Title"/>
        <w:jc w:val="center"/>
      </w:pPr>
      <w:r>
        <w:rPr/>
        <w:t>Business Requirements Document (BRD)</w:t>
      </w:r>
    </w:p>
    <w:p>
      <w:pPr>
        <w:pStyle w:val="Subtitle"/>
        <w:jc w:val="center"/>
      </w:pPr>
      <w:r>
        <w:rPr/>
        <w:t>YOU BANK – Banking Application</w:t>
      </w:r>
    </w:p>
    <w:p>
      <w:pPr>
        <w:pStyle w:val="Heading1"/>
      </w:pPr>
      <w:r>
        <w:rPr/>
        <w:t>Executive Summary</w:t>
      </w:r>
    </w:p>
    <w:p>
      <w:pPr>
        <w:pStyle w:val="Normal"/>
      </w:pPr>
      <w:r>
        <w:rPr/>
        <w:t>YOU BANK is a web application offering three primary retail banking services via a tabbed interface: Internet Banking, Loans, and Mortgages. The homepage hosts advertisements promoting loans and high interest rates on deposits, and an inline login module. The UI color scheme is red and blue throughout.</w:t>
      </w:r>
    </w:p>
    <w:p>
      <w:pPr>
        <w:pStyle w:val="Heading2"/>
      </w:pPr>
      <w:r>
        <w:t>Security &amp; Authentication Requirements</w:t>
      </w:r>
    </w:p>
    <w:p>
      <w:pPr>
        <w:pStyle w:val="ListBullet"/>
      </w:pPr>
      <w:r>
        <w:t>Support MFA (OTP via SMS/Email/App) for login and sensitive actions (e.g., statement download).</w:t>
      </w:r>
    </w:p>
    <w:p>
      <w:pPr>
        <w:pStyle w:val="ListBullet"/>
      </w:pPr>
      <w:r>
        <w:t>Account lockout after configurable failed attempts (e.g., 5) with secure unlock flow.</w:t>
      </w:r>
    </w:p>
    <w:p>
      <w:pPr>
        <w:pStyle w:val="ListBullet"/>
      </w:pPr>
      <w:r>
        <w:t>Session timeout after inactivity (e.g., 10–15 minutes) and secure logout.</w:t>
      </w:r>
    </w:p>
    <w:p>
      <w:pPr>
        <w:pStyle w:val="ListBullet"/>
      </w:pPr>
      <w:r>
        <w:t>Password policy: minimum length, complexity, and disallow commonly used passwords.</w:t>
      </w:r>
    </w:p>
    <w:p>
      <w:pPr>
        <w:pStyle w:val="ListBullet"/>
      </w:pPr>
      <w:r>
        <w:t>CAPTCHA and rate limiting to mitigate automated login attacks.</w:t>
      </w:r>
    </w:p>
    <w:p>
      <w:pPr>
        <w:pStyle w:val="ListBullet"/>
      </w:pPr>
      <w:r>
        <w:t>Audit logs for authentication events (success, failure, lockouts, resets).</w:t>
      </w:r>
    </w:p>
    <w:p>
      <w:pPr>
        <w:pStyle w:val="Heading1"/>
      </w:pPr>
      <w:r>
        <w:rPr/>
        <w:t>Objectives &amp; Scope</w:t>
      </w:r>
    </w:p>
    <w:p>
      <w:pPr>
        <w:pStyle w:val="Heading2"/>
      </w:pPr>
      <w:r>
        <w:rPr/>
        <w:t>Objectives:</w:t>
      </w:r>
    </w:p>
    <w:p>
      <w:pPr>
        <w:pStyle w:val="ListBullet"/>
      </w:pPr>
      <w:r>
        <w:rPr/>
        <w:t>- Provide a secure, intuitive, and responsive web app for customers to manage everyday banking transactions.</w:t>
      </w:r>
    </w:p>
    <w:p>
      <w:pPr>
        <w:pStyle w:val="ListBullet"/>
      </w:pPr>
      <w:r>
        <w:rPr/>
        <w:t>- Enable customers to view and manage loans and mortgages with clear repayment progress.</w:t>
      </w:r>
    </w:p>
    <w:p>
      <w:pPr>
        <w:pStyle w:val="ListBullet"/>
      </w:pPr>
      <w:r>
        <w:rPr/>
        <w:t>- Promote loan products via targeted, compliant advertising on the homepage.</w:t>
      </w:r>
    </w:p>
    <w:p>
      <w:pPr>
        <w:pStyle w:val="Heading2"/>
      </w:pPr>
      <w:r>
        <w:rPr/>
        <w:t>In-Scope Features:</w:t>
      </w:r>
    </w:p>
    <w:p>
      <w:pPr>
        <w:pStyle w:val="ListBullet"/>
      </w:pPr>
      <w:r>
        <w:rPr/>
        <w:t>- Login Module (homepage inline and dedicated route)</w:t>
      </w:r>
    </w:p>
    <w:p>
      <w:pPr>
        <w:pStyle w:val="ListBullet"/>
      </w:pPr>
      <w:r>
        <w:rPr/>
        <w:t>- Internet Banking Tab with account summary and transaction table</w:t>
      </w:r>
    </w:p>
    <w:p>
      <w:pPr>
        <w:pStyle w:val="ListBullet"/>
      </w:pPr>
      <w:r>
        <w:rPr/>
        <w:t>- Loans Tab showing loan overview with 20% repaid</w:t>
      </w:r>
    </w:p>
    <w:p>
      <w:pPr>
        <w:pStyle w:val="ListBullet"/>
      </w:pPr>
      <w:r>
        <w:rPr/>
        <w:t>- Mortgages Tab showing INR 45,00,000 mortgage with 90% repaid</w:t>
      </w:r>
    </w:p>
    <w:p>
      <w:pPr>
        <w:pStyle w:val="ListBullet"/>
      </w:pPr>
      <w:r>
        <w:rPr/>
        <w:t>- Homepage Ads for loans and high interest deposits</w:t>
      </w:r>
    </w:p>
    <w:p>
      <w:pPr>
        <w:pStyle w:val="Heading2"/>
      </w:pPr>
      <w:r>
        <w:t>Assumptions</w:t>
      </w:r>
    </w:p>
    <w:p>
      <w:pPr>
        <w:pStyle w:val="ListBullet"/>
      </w:pPr>
      <w:r>
        <w:t>Customers have an active YOU BANK retail account and valid credentials.</w:t>
      </w:r>
    </w:p>
    <w:p>
      <w:pPr>
        <w:pStyle w:val="ListBullet"/>
      </w:pPr>
      <w:r>
        <w:t>Account balances and transaction history are provided by the Core Banking System (CBS) with defined refresh latency (real-time or near real-time).</w:t>
      </w:r>
    </w:p>
    <w:p>
      <w:pPr>
        <w:pStyle w:val="ListBullet"/>
      </w:pPr>
      <w:r>
        <w:t>All amounts are presented in INR and follow Indian numbering format.</w:t>
      </w:r>
    </w:p>
    <w:p>
      <w:pPr>
        <w:pStyle w:val="Heading2"/>
      </w:pPr>
      <w:r>
        <w:t>Out of Scope</w:t>
      </w:r>
    </w:p>
    <w:p>
      <w:pPr>
        <w:pStyle w:val="ListBullet"/>
      </w:pPr>
      <w:r>
        <w:t>Credit card servicing and card controls.</w:t>
      </w:r>
    </w:p>
    <w:p>
      <w:pPr>
        <w:pStyle w:val="ListBullet"/>
      </w:pPr>
      <w:r>
        <w:t>International remittances and SWIFT transfers.</w:t>
      </w:r>
    </w:p>
    <w:p>
      <w:pPr>
        <w:pStyle w:val="ListBullet"/>
      </w:pPr>
      <w:r>
        <w:t>Branch appointment booking and in-branch services.</w:t>
      </w:r>
    </w:p>
    <w:p>
      <w:pPr>
        <w:pStyle w:val="Heading2"/>
      </w:pPr>
      <w:r>
        <w:t>Dependencies &amp; Integrations</w:t>
      </w:r>
    </w:p>
    <w:p>
      <w:pPr>
        <w:pStyle w:val="ListBullet"/>
      </w:pPr>
      <w:r>
        <w:t>Core Banking System (CBS) for account, loan, mortgage, and transaction data.</w:t>
      </w:r>
    </w:p>
    <w:p>
      <w:pPr>
        <w:pStyle w:val="ListBullet"/>
      </w:pPr>
      <w:r>
        <w:t>Authentication/OTP service for MFA and alerts (SMS/Email/App).</w:t>
      </w:r>
    </w:p>
    <w:p>
      <w:pPr>
        <w:pStyle w:val="ListBullet"/>
      </w:pPr>
      <w:r>
        <w:t>Document generation service for PDF/Excel statements and downloads.</w:t>
      </w:r>
    </w:p>
    <w:p>
      <w:pPr>
        <w:pStyle w:val="ListBullet"/>
      </w:pPr>
      <w:r>
        <w:t>CMS/Ad service for homepage banners and promotions (with compliance controls).</w:t>
      </w:r>
    </w:p>
    <w:p>
      <w:pPr>
        <w:pStyle w:val="Heading2"/>
      </w:pPr>
      <w:r>
        <w:t>Stakeholders</w:t>
      </w:r>
    </w:p>
    <w:p>
      <w:pPr>
        <w:pStyle w:val="ListBullet"/>
      </w:pPr>
      <w:r>
        <w:t>Business Owner (Retail Banking)</w:t>
      </w:r>
    </w:p>
    <w:p>
      <w:pPr>
        <w:pStyle w:val="ListBullet"/>
      </w:pPr>
      <w:r>
        <w:t>Compliance &amp; Risk</w:t>
      </w:r>
    </w:p>
    <w:p>
      <w:pPr>
        <w:pStyle w:val="ListBullet"/>
      </w:pPr>
      <w:r>
        <w:t>Information Security</w:t>
      </w:r>
    </w:p>
    <w:p>
      <w:pPr>
        <w:pStyle w:val="ListBullet"/>
      </w:pPr>
      <w:r>
        <w:t>Product Management</w:t>
      </w:r>
    </w:p>
    <w:p>
      <w:pPr>
        <w:pStyle w:val="ListBullet"/>
      </w:pPr>
      <w:r>
        <w:t>Engineering &amp; QA</w:t>
      </w:r>
    </w:p>
    <w:p>
      <w:pPr>
        <w:pStyle w:val="ListBullet"/>
      </w:pPr>
      <w:r>
        <w:t>Customer Support</w:t>
      </w:r>
    </w:p>
    <w:p>
      <w:pPr>
        <w:pStyle w:val="Heading2"/>
      </w:pPr>
      <w:r>
        <w:t>Glossary</w:t>
      </w:r>
    </w:p>
    <w:p>
      <w:pPr>
        <w:pStyle w:val="ListBullet"/>
      </w:pPr>
      <w:r>
        <w:t>EMI: Equated Monthly Installment</w:t>
      </w:r>
    </w:p>
    <w:p>
      <w:pPr>
        <w:pStyle w:val="ListBullet"/>
      </w:pPr>
      <w:r>
        <w:t>MFA: Multi-Factor Authentication</w:t>
      </w:r>
    </w:p>
    <w:p>
      <w:pPr>
        <w:pStyle w:val="ListBullet"/>
      </w:pPr>
      <w:r>
        <w:t>CBS: Core Banking System</w:t>
      </w:r>
    </w:p>
    <w:p>
      <w:pPr>
        <w:pStyle w:val="ListBullet"/>
      </w:pPr>
      <w:r>
        <w:t>Outstanding Balance: Remaining principal amount to be repaid</w:t>
      </w:r>
    </w:p>
    <w:p>
      <w:pPr>
        <w:pStyle w:val="Heading1"/>
      </w:pPr>
      <w:r>
        <w:rPr/>
        <w:t>Internet Banking</w:t>
      </w:r>
    </w:p>
    <w:p>
      <w:pPr>
        <w:pStyle w:val="Heading2"/>
      </w:pPr>
      <w:r>
        <w:rPr/>
        <w:t>Features:</w:t>
      </w:r>
    </w:p>
    <w:p>
      <w:pPr>
        <w:pStyle w:val="ListBullet"/>
      </w:pPr>
      <w:r>
        <w:rPr/>
        <w:t>- Account summary with masked account number and balance.</w:t>
      </w:r>
    </w:p>
    <w:p>
      <w:pPr>
        <w:pStyle w:val="ListBullet"/>
      </w:pPr>
      <w:r>
        <w:rPr/>
        <w:t>- Transaction table with debits and credits.</w:t>
      </w:r>
    </w:p>
    <w:p>
      <w:pPr>
        <w:pStyle w:val="Heading2"/>
      </w:pPr>
      <w:r>
        <w:rPr/>
        <w:t>Additional Feature:</w:t>
      </w:r>
    </w:p>
    <w:p>
      <w:pPr>
        <w:pStyle w:val="Normal"/>
      </w:pPr>
      <w:r>
        <w:rPr/>
        <w:t>Provide an option for users to download their transaction history as Excel (.xlsx) or PDF format for record-keeping.</w:t>
      </w:r>
    </w:p>
    <w:p>
      <w:pPr>
        <w:pStyle w:val="Heading3"/>
      </w:pPr>
      <w:r>
        <w:t>Enhanced Transaction History Capabilities</w:t>
      </w:r>
    </w:p>
    <w:p>
      <w:pPr>
        <w:pStyle w:val="ListBullet"/>
      </w:pPr>
      <w:r>
        <w:t>Search and filter transactions by date range, amount range, debit/credit type, and description.</w:t>
      </w:r>
    </w:p>
    <w:p>
      <w:pPr>
        <w:pStyle w:val="ListBullet"/>
      </w:pPr>
      <w:r>
        <w:t>Pagination or infinite scroll for large histories with server-side query support.</w:t>
      </w:r>
    </w:p>
    <w:p>
      <w:pPr>
        <w:pStyle w:val="ListBullet"/>
      </w:pPr>
      <w:r>
        <w:t>Export options: Excel (.xlsx) and PDF with selectable date range and account(s).</w:t>
      </w:r>
    </w:p>
    <w:p>
      <w:pPr>
        <w:pStyle w:val="ListBullet"/>
      </w:pPr>
      <w:r>
        <w:t>Optional PDF password protection and watermarking for sensitive documents.</w:t>
      </w:r>
    </w:p>
    <w:p>
      <w:pPr>
        <w:pStyle w:val="ListBullet"/>
      </w:pPr>
      <w:r>
        <w:t>Clear empty states and error messaging when no transactions are returned.</w:t>
      </w:r>
    </w:p>
    <w:p>
      <w:pPr>
        <w:pStyle w:val="Heading2"/>
      </w:pPr>
      <w:r>
        <w:rPr/>
        <w:t>Sample Transaction Table:</w:t>
      </w:r>
    </w:p>
    <w:p>
      <w:pPr>
        <w:pStyle w:val="Heading1"/>
      </w:pPr>
      <w:r>
        <w:rPr/>
        <w:t>Loans</w:t>
      </w:r>
    </w:p>
    <w:p>
      <w:pPr>
        <w:pStyle w:val="Heading2"/>
      </w:pPr>
      <w:r>
        <w:rPr/>
        <w:t>Loan Overview:</w:t>
      </w:r>
    </w:p>
    <w:p>
      <w:pPr>
        <w:pStyle w:val="Normal"/>
      </w:pPr>
      <w:r>
        <w:rPr/>
        <w:t>Loan Principal: INR 10,00,000 | Repaid: 20% | Outstanding: INR 8,00,000</w:t>
      </w:r>
    </w:p>
    <w:p>
      <w:pPr>
        <w:pStyle w:val="Heading3"/>
      </w:pPr>
      <w:r>
        <w:t>Loan Management Enhancements</w:t>
      </w:r>
    </w:p>
    <w:p>
      <w:pPr>
        <w:pStyle w:val="ListBullet"/>
      </w:pPr>
      <w:r>
        <w:t>Show next EMI due date, EMI amount, and payment status (Paid/Due/Overdue).</w:t>
      </w:r>
    </w:p>
    <w:p>
      <w:pPr>
        <w:pStyle w:val="ListBullet"/>
      </w:pPr>
      <w:r>
        <w:t>Enable statement download (monthly/annual) in PDF/Excel.</w:t>
      </w:r>
    </w:p>
    <w:p>
      <w:pPr>
        <w:pStyle w:val="ListBullet"/>
      </w:pPr>
      <w:r>
        <w:t>Provide prepayment/part-payment simulation (read-only) with updated outstanding estimate.</w:t>
      </w:r>
    </w:p>
    <w:p>
      <w:pPr>
        <w:pStyle w:val="ListBullet"/>
      </w:pPr>
      <w:r>
        <w:t>In-app reminders and alerts for upcoming EMIs (configurable channels).</w:t>
      </w:r>
    </w:p>
    <w:p>
      <w:pPr>
        <w:pStyle w:val="ListBullet"/>
      </w:pPr>
      <w:r>
        <w:t>Visual progress indicator (progress bar) aligned with repaid percentage.</w:t>
      </w:r>
    </w:p>
    <w:p>
      <w:pPr>
        <w:pStyle w:val="Heading2"/>
      </w:pPr>
      <w:r>
        <w:rPr/>
        <w:t>Loan Repayment Schedule:</w:t>
      </w:r>
    </w:p>
    <w:p>
      <w:pPr>
        <w:pStyle w:val="Heading1"/>
      </w:pPr>
      <w:r>
        <w:rPr/>
        <w:t>Mortgages</w:t>
      </w:r>
    </w:p>
    <w:p>
      <w:pPr>
        <w:pStyle w:val="Heading2"/>
      </w:pPr>
      <w:r>
        <w:rPr/>
        <w:t>Mortgage Overview:</w:t>
      </w:r>
    </w:p>
    <w:p>
      <w:pPr>
        <w:pStyle w:val="Normal"/>
      </w:pPr>
      <w:r>
        <w:rPr/>
        <w:t>Mortgage Principal: INR 45,00,000 | Repaid: 90% | Outstanding: INR 4,50,000</w:t>
      </w:r>
    </w:p>
    <w:p>
      <w:pPr>
        <w:pStyle w:val="Heading3"/>
      </w:pPr>
      <w:r>
        <w:t>Mortgage Management Enhancements</w:t>
      </w:r>
    </w:p>
    <w:p>
      <w:pPr>
        <w:pStyle w:val="ListBullet"/>
      </w:pPr>
      <w:r>
        <w:t>Show interest rate type (Fixed/Floating), rate value, and reset frequency (if applicable).</w:t>
      </w:r>
    </w:p>
    <w:p>
      <w:pPr>
        <w:pStyle w:val="ListBullet"/>
      </w:pPr>
      <w:r>
        <w:t>Display next EMI due date, EMI amount, and amortization snapshot.</w:t>
      </w:r>
    </w:p>
    <w:p>
      <w:pPr>
        <w:pStyle w:val="ListBullet"/>
      </w:pPr>
      <w:r>
        <w:t>Provide mortgage statement download (monthly/annual) in PDF/Excel.</w:t>
      </w:r>
    </w:p>
    <w:p>
      <w:pPr>
        <w:pStyle w:val="ListBullet"/>
      </w:pPr>
      <w:r>
        <w:t>Provide foreclosure/pre-closure eligibility indicator and contact/support CTA.</w:t>
      </w:r>
    </w:p>
    <w:p>
      <w:pPr>
        <w:pStyle w:val="ListBullet"/>
      </w:pPr>
      <w:r>
        <w:t>Present repayment progress visually (progress bar) aligned with 90% repaid.</w:t>
      </w:r>
    </w:p>
    <w:p>
      <w:pPr>
        <w:pStyle w:val="Heading3"/>
      </w:pPr>
      <w:r>
        <w:t>Sample Mortgage EMI Schedule (Illustrative)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Installment No</w:t>
            </w:r>
          </w:p>
        </w:tc>
        <w:tc>
          <w:tcPr>
            <w:tcW w:type="dxa" w:w="1440"/>
          </w:tcPr>
          <w:p>
            <w:r>
              <w:t>Date</w:t>
            </w:r>
          </w:p>
        </w:tc>
        <w:tc>
          <w:tcPr>
            <w:tcW w:type="dxa" w:w="1440"/>
          </w:tcPr>
          <w:p>
            <w:r>
              <w:t>Principal Component</w:t>
            </w:r>
          </w:p>
        </w:tc>
        <w:tc>
          <w:tcPr>
            <w:tcW w:type="dxa" w:w="1440"/>
          </w:tcPr>
          <w:p>
            <w:r>
              <w:t>Interest Component</w:t>
            </w:r>
          </w:p>
        </w:tc>
        <w:tc>
          <w:tcPr>
            <w:tcW w:type="dxa" w:w="1440"/>
          </w:tcPr>
          <w:p>
            <w:r>
              <w:t>Total Payment</w:t>
            </w:r>
          </w:p>
        </w:tc>
        <w:tc>
          <w:tcPr>
            <w:tcW w:type="dxa" w:w="1440"/>
          </w:tcPr>
          <w:p>
            <w:r>
              <w:t>Remaining Balance</w:t>
            </w:r>
          </w:p>
        </w:tc>
      </w:tr>
      <w:tr>
        <w:tc>
          <w:tcPr>
            <w:tcW w:type="dxa" w:w="1440"/>
          </w:tcPr>
          <w:p>
            <w:r>
              <w:t>1</w:t>
            </w:r>
          </w:p>
        </w:tc>
        <w:tc>
          <w:tcPr>
            <w:tcW w:type="dxa" w:w="1440"/>
          </w:tcPr>
          <w:p>
            <w:r>
              <w:t>2025-11-01</w:t>
            </w:r>
          </w:p>
        </w:tc>
        <w:tc>
          <w:tcPr>
            <w:tcW w:type="dxa" w:w="1440"/>
          </w:tcPr>
          <w:p>
            <w:r>
              <w:t>50,000</w:t>
            </w:r>
          </w:p>
        </w:tc>
        <w:tc>
          <w:tcPr>
            <w:tcW w:type="dxa" w:w="1440"/>
          </w:tcPr>
          <w:p>
            <w:r>
              <w:t>25,000</w:t>
            </w:r>
          </w:p>
        </w:tc>
        <w:tc>
          <w:tcPr>
            <w:tcW w:type="dxa" w:w="1440"/>
          </w:tcPr>
          <w:p>
            <w:r>
              <w:t>75,000</w:t>
            </w:r>
          </w:p>
        </w:tc>
        <w:tc>
          <w:tcPr>
            <w:tcW w:type="dxa" w:w="1440"/>
          </w:tcPr>
          <w:p>
            <w:r>
              <w:t>4,00,000</w:t>
            </w:r>
          </w:p>
        </w:tc>
      </w:tr>
      <w:tr>
        <w:tc>
          <w:tcPr>
            <w:tcW w:type="dxa" w:w="1440"/>
          </w:tcPr>
          <w:p>
            <w:r>
              <w:t>2</w:t>
            </w:r>
          </w:p>
        </w:tc>
        <w:tc>
          <w:tcPr>
            <w:tcW w:type="dxa" w:w="1440"/>
          </w:tcPr>
          <w:p>
            <w:r>
              <w:t>2025-12-01</w:t>
            </w:r>
          </w:p>
        </w:tc>
        <w:tc>
          <w:tcPr>
            <w:tcW w:type="dxa" w:w="1440"/>
          </w:tcPr>
          <w:p>
            <w:r>
              <w:t>50,000</w:t>
            </w:r>
          </w:p>
        </w:tc>
        <w:tc>
          <w:tcPr>
            <w:tcW w:type="dxa" w:w="1440"/>
          </w:tcPr>
          <w:p>
            <w:r>
              <w:t>24,500</w:t>
            </w:r>
          </w:p>
        </w:tc>
        <w:tc>
          <w:tcPr>
            <w:tcW w:type="dxa" w:w="1440"/>
          </w:tcPr>
          <w:p>
            <w:r>
              <w:t>74,500</w:t>
            </w:r>
          </w:p>
        </w:tc>
        <w:tc>
          <w:tcPr>
            <w:tcW w:type="dxa" w:w="1440"/>
          </w:tcPr>
          <w:p>
            <w:r>
              <w:t>3,50,000</w:t>
            </w:r>
          </w:p>
        </w:tc>
      </w:tr>
      <w:tr>
        <w:tc>
          <w:tcPr>
            <w:tcW w:type="dxa" w:w="1440"/>
          </w:tcPr>
          <w:p>
            <w:r>
              <w:t>3</w:t>
            </w:r>
          </w:p>
        </w:tc>
        <w:tc>
          <w:tcPr>
            <w:tcW w:type="dxa" w:w="1440"/>
          </w:tcPr>
          <w:p>
            <w:r>
              <w:t>2026-01-01</w:t>
            </w:r>
          </w:p>
        </w:tc>
        <w:tc>
          <w:tcPr>
            <w:tcW w:type="dxa" w:w="1440"/>
          </w:tcPr>
          <w:p>
            <w:r>
              <w:t>50,000</w:t>
            </w:r>
          </w:p>
        </w:tc>
        <w:tc>
          <w:tcPr>
            <w:tcW w:type="dxa" w:w="1440"/>
          </w:tcPr>
          <w:p>
            <w:r>
              <w:t>24,000</w:t>
            </w:r>
          </w:p>
        </w:tc>
        <w:tc>
          <w:tcPr>
            <w:tcW w:type="dxa" w:w="1440"/>
          </w:tcPr>
          <w:p>
            <w:r>
              <w:t>74,000</w:t>
            </w:r>
          </w:p>
        </w:tc>
        <w:tc>
          <w:tcPr>
            <w:tcW w:type="dxa" w:w="1440"/>
          </w:tcPr>
          <w:p>
            <w:r>
              <w:t>3,00,000</w:t>
            </w:r>
          </w:p>
        </w:tc>
      </w:tr>
    </w:tbl>
    <w:p>
      <w:pPr>
        <w:pStyle w:val="Heading2"/>
      </w:pPr>
      <w:r>
        <w:rPr/>
        <w:t>Optional Add-On Services:</w:t>
      </w:r>
    </w:p>
    <w:p>
      <w:pPr>
        <w:pStyle w:val="ListBullet"/>
      </w:pPr>
      <w:r>
        <w:rPr/>
        <w:t>- Mortgage Insurance</w:t>
      </w:r>
    </w:p>
    <w:p>
      <w:pPr>
        <w:pStyle w:val="ListBullet"/>
      </w:pPr>
      <w:r>
        <w:rPr/>
        <w:t>- Home Maintenance Package</w:t>
      </w:r>
    </w:p>
    <w:p>
      <w:pPr>
        <w:pStyle w:val="ListBullet"/>
      </w:pPr>
      <w:r>
        <w:rPr/>
        <w:t>- Property Tax Assistance</w:t>
      </w:r>
    </w:p>
    <w:p>
      <w:r>
        <w:br w:type="page"/>
      </w:r>
    </w:p>
    <w:p>
      <w:pPr>
        <w:pStyle w:val="Heading1"/>
      </w:pPr>
      <w:r>
        <w:t>Non-Functional Requirements (NFRs)</w:t>
      </w:r>
    </w:p>
    <w:p>
      <w:pPr>
        <w:pStyle w:val="Heading2"/>
      </w:pPr>
      <w:r>
        <w:t>Performance</w:t>
      </w:r>
    </w:p>
    <w:p>
      <w:pPr>
        <w:pStyle w:val="ListBullet"/>
      </w:pPr>
      <w:r>
        <w:t>Homepage and tab navigation should load within 3 seconds on standard broadband connections.</w:t>
      </w:r>
    </w:p>
    <w:p>
      <w:pPr>
        <w:pStyle w:val="ListBullet"/>
      </w:pPr>
      <w:r>
        <w:t>Transaction and schedule tables should render within 2 seconds for typical data volumes (with pagination for large datasets).</w:t>
      </w:r>
    </w:p>
    <w:p>
      <w:pPr>
        <w:pStyle w:val="Heading2"/>
      </w:pPr>
      <w:r>
        <w:t>Availability &amp; Reliability</w:t>
      </w:r>
    </w:p>
    <w:p>
      <w:pPr>
        <w:pStyle w:val="ListBullet"/>
      </w:pPr>
      <w:r>
        <w:t>Target availability: 99.9% monthly uptime (excluding planned maintenance).</w:t>
      </w:r>
    </w:p>
    <w:p>
      <w:pPr>
        <w:pStyle w:val="ListBullet"/>
      </w:pPr>
      <w:r>
        <w:t>Graceful degradation: show partial availability messages if a downstream service is unavailable.</w:t>
      </w:r>
    </w:p>
    <w:p>
      <w:pPr>
        <w:pStyle w:val="Heading2"/>
      </w:pPr>
      <w:r>
        <w:t>Scalability</w:t>
      </w:r>
    </w:p>
    <w:p>
      <w:pPr>
        <w:pStyle w:val="ListBullet"/>
      </w:pPr>
      <w:r>
        <w:t>Support expected peak concurrent users with horizontal scaling for stateless services.</w:t>
      </w:r>
    </w:p>
    <w:p>
      <w:pPr>
        <w:pStyle w:val="ListBullet"/>
      </w:pPr>
      <w:r>
        <w:t>Implement caching for static assets and non-sensitive promotional content.</w:t>
      </w:r>
    </w:p>
    <w:p>
      <w:pPr>
        <w:pStyle w:val="Heading2"/>
      </w:pPr>
      <w:r>
        <w:t>Accessibility &amp; UX</w:t>
      </w:r>
    </w:p>
    <w:p>
      <w:pPr>
        <w:pStyle w:val="ListBullet"/>
      </w:pPr>
      <w:r>
        <w:t>Follow WCAG 2.1 AA guidelines for color contrast, keyboard navigation, and assistive technologies.</w:t>
      </w:r>
    </w:p>
    <w:p>
      <w:pPr>
        <w:pStyle w:val="ListBullet"/>
      </w:pPr>
      <w:r>
        <w:t>Responsive design for mobile, tablet, and desktop with consistent tab behavior and readable tables.</w:t>
      </w:r>
    </w:p>
    <w:p>
      <w:pPr>
        <w:pStyle w:val="Heading1"/>
      </w:pPr>
      <w:r>
        <w:t>Compliance, Privacy &amp; Security</w:t>
      </w:r>
    </w:p>
    <w:p>
      <w:pPr>
        <w:pStyle w:val="ListBullet"/>
      </w:pPr>
      <w:r>
        <w:t>Encrypt data in transit (TLS) and sensitive data at rest using approved encryption standards.</w:t>
      </w:r>
    </w:p>
    <w:p>
      <w:pPr>
        <w:pStyle w:val="ListBullet"/>
      </w:pPr>
      <w:r>
        <w:t>Mask sensitive identifiers (e.g., account numbers) consistently across UI and downloads.</w:t>
      </w:r>
    </w:p>
    <w:p>
      <w:pPr>
        <w:pStyle w:val="ListBullet"/>
      </w:pPr>
      <w:r>
        <w:t>Maintain audit trails for logins, downloads, and critical user actions.</w:t>
      </w:r>
    </w:p>
    <w:p>
      <w:pPr>
        <w:pStyle w:val="ListBullet"/>
      </w:pPr>
      <w:r>
        <w:t>Ensure advertisements include mandatory disclosures (e.g., “T&amp;C Apply”) and link to product terms.</w:t>
      </w:r>
    </w:p>
    <w:p>
      <w:pPr>
        <w:pStyle w:val="Heading2"/>
      </w:pPr>
      <w:r>
        <w:t>Homepage Ads – Business Rules</w:t>
      </w:r>
    </w:p>
    <w:p>
      <w:pPr>
        <w:pStyle w:val="ListBullet"/>
      </w:pPr>
      <w:r>
        <w:t>Ad clicks must redirect to relevant product detail pages with clear eligibility and terms.</w:t>
      </w:r>
    </w:p>
    <w:p>
      <w:pPr>
        <w:pStyle w:val="ListBullet"/>
      </w:pPr>
      <w:r>
        <w:t>Apply frequency capping to prevent overexposure of the same banner within a session/day.</w:t>
      </w:r>
    </w:p>
    <w:p>
      <w:pPr>
        <w:pStyle w:val="ListBullet"/>
      </w:pPr>
      <w:r>
        <w:t>If personalization is used, define segmentation rules and obtain consent where required.</w:t>
      </w:r>
    </w:p>
    <w:p>
      <w:pPr>
        <w:pStyle w:val="Heading1"/>
      </w:pPr>
      <w:r>
        <w:t>Error Handling &amp; Messaging</w:t>
      </w:r>
    </w:p>
    <w:p>
      <w:pPr>
        <w:pStyle w:val="ListBullet"/>
      </w:pPr>
      <w:r>
        <w:t>Provide user-friendly messages for authentication failures (without revealing sensitive details).</w:t>
      </w:r>
    </w:p>
    <w:p>
      <w:pPr>
        <w:pStyle w:val="ListBullet"/>
      </w:pPr>
      <w:r>
        <w:t>Show clear system downtime or service unavailability banners with retry guidance.</w:t>
      </w:r>
    </w:p>
    <w:p>
      <w:pPr>
        <w:pStyle w:val="ListBullet"/>
      </w:pPr>
      <w:r>
        <w:t>Log technical errors with correlation IDs and display a generic error to users.</w:t>
      </w:r>
    </w:p>
    <w:p>
      <w:pPr>
        <w:pStyle w:val="Heading1"/>
      </w:pPr>
      <w:r>
        <w:t>Open Questions</w:t>
      </w:r>
    </w:p>
    <w:p>
      <w:pPr>
        <w:pStyle w:val="ListBullet"/>
      </w:pPr>
      <w:r>
        <w:t>What is the expected transaction refresh latency (real-time vs batch)?</w:t>
      </w:r>
    </w:p>
    <w:p>
      <w:pPr>
        <w:pStyle w:val="ListBullet"/>
      </w:pPr>
      <w:r>
        <w:t>Which MFA factors are mandatory for login vs sensitive actions?</w:t>
      </w:r>
    </w:p>
    <w:p>
      <w:pPr>
        <w:pStyle w:val="ListBullet"/>
      </w:pPr>
      <w:r>
        <w:t>Are loans/mortgages servicing actions (payments, part-payments) in scope in a later phase?</w:t>
      </w:r>
    </w:p>
    <w:p>
      <w:pPr>
        <w:pStyle w:val="ListBullet"/>
      </w:pPr>
      <w:r>
        <w:t>What are the required compliance standards and audit retention period?</w:t>
      </w:r>
    </w:p>
    <w:sectPr w:rsidR="00FC693F" w:rsidRPr="0006063C" w:rsidSect="00034616">
      <w:pgSz w:w="12240" w:h="15840"/>
      <w:pgMar w:top="1440" w:right="1800" w:bottom="1440" w:left="1800" w:header="720" w:footer="720" w:gutter="0"/>
      <w:cols w:space="720"/>
      <w:docGrid w:linePitch="360"/>
    </w:sectPr>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Date</w:t>
            </w:r>
          </w:p>
        </w:tc>
        <w:tc>
          <w:tcPr>
            <w:tcW w:type="dxa" w:w="1872"/>
          </w:tcPr>
          <w:p>
            <w:r>
              <w:rPr>
                <w:b/>
              </w:rPr>
              <w:t>Description</w:t>
            </w:r>
          </w:p>
        </w:tc>
        <w:tc>
          <w:tcPr>
            <w:tcW w:type="dxa" w:w="1872"/>
          </w:tcPr>
          <w:p>
            <w:r>
              <w:rPr>
                <w:b/>
              </w:rPr>
              <w:t>Type</w:t>
            </w:r>
          </w:p>
        </w:tc>
        <w:tc>
          <w:tcPr>
            <w:tcW w:type="dxa" w:w="1872"/>
          </w:tcPr>
          <w:p>
            <w:r>
              <w:rPr>
                <w:b/>
              </w:rPr>
              <w:t>Amount (INR)</w:t>
            </w:r>
          </w:p>
        </w:tc>
        <w:tc>
          <w:tcPr>
            <w:tcW w:type="dxa" w:w="1872"/>
          </w:tcPr>
          <w:p>
            <w:r>
              <w:rPr>
                <w:b/>
              </w:rPr>
              <w:t>Balance (INR)</w:t>
            </w:r>
          </w:p>
        </w:tc>
      </w:tr>
      <w:tr>
        <w:tc>
          <w:tcPr>
            <w:tcW w:type="dxa" w:w="1872"/>
          </w:tcPr>
          <w:p>
            <w:pPr>
              <w:jc w:val="center"/>
            </w:pPr>
            <w:r>
              <w:t>2025-10-03</w:t>
            </w:r>
          </w:p>
        </w:tc>
        <w:tc>
          <w:tcPr>
            <w:tcW w:type="dxa" w:w="1872"/>
          </w:tcPr>
          <w:p>
            <w:pPr>
              <w:jc w:val="center"/>
            </w:pPr>
            <w:r>
              <w:t>Salary Credit</w:t>
            </w:r>
          </w:p>
        </w:tc>
        <w:tc>
          <w:tcPr>
            <w:tcW w:type="dxa" w:w="1872"/>
          </w:tcPr>
          <w:p>
            <w:pPr>
              <w:jc w:val="center"/>
            </w:pPr>
            <w:r>
              <w:t>Credit</w:t>
            </w:r>
          </w:p>
        </w:tc>
        <w:tc>
          <w:tcPr>
            <w:tcW w:type="dxa" w:w="1872"/>
          </w:tcPr>
          <w:p>
            <w:pPr>
              <w:jc w:val="center"/>
            </w:pPr>
            <w:r>
              <w:t>1,50,000</w:t>
            </w:r>
          </w:p>
        </w:tc>
        <w:tc>
          <w:tcPr>
            <w:tcW w:type="dxa" w:w="1872"/>
          </w:tcPr>
          <w:p>
            <w:pPr>
              <w:jc w:val="center"/>
            </w:pPr>
            <w:r>
              <w:t>5,25,430</w:t>
            </w:r>
          </w:p>
        </w:tc>
      </w:tr>
      <w:tr>
        <w:tc>
          <w:tcPr>
            <w:tcW w:type="dxa" w:w="1872"/>
          </w:tcPr>
          <w:p>
            <w:pPr>
              <w:jc w:val="center"/>
            </w:pPr>
            <w:r>
              <w:t>2025-10-05</w:t>
            </w:r>
          </w:p>
        </w:tc>
        <w:tc>
          <w:tcPr>
            <w:tcW w:type="dxa" w:w="1872"/>
          </w:tcPr>
          <w:p>
            <w:pPr>
              <w:jc w:val="center"/>
            </w:pPr>
            <w:r>
              <w:t>Rent Payment</w:t>
            </w:r>
          </w:p>
        </w:tc>
        <w:tc>
          <w:tcPr>
            <w:tcW w:type="dxa" w:w="1872"/>
          </w:tcPr>
          <w:p>
            <w:pPr>
              <w:jc w:val="center"/>
            </w:pPr>
            <w:r>
              <w:t>Debit</w:t>
            </w:r>
          </w:p>
        </w:tc>
        <w:tc>
          <w:tcPr>
            <w:tcW w:type="dxa" w:w="1872"/>
          </w:tcPr>
          <w:p>
            <w:pPr>
              <w:jc w:val="center"/>
            </w:pPr>
            <w:r>
              <w:t>45,000</w:t>
            </w:r>
          </w:p>
        </w:tc>
        <w:tc>
          <w:tcPr>
            <w:tcW w:type="dxa" w:w="1872"/>
          </w:tcPr>
          <w:p>
            <w:pPr>
              <w:jc w:val="center"/>
            </w:pPr>
            <w:r>
              <w:t>4,80,430</w:t>
            </w:r>
          </w:p>
        </w:tc>
      </w:tr>
      <w:tr>
        <w:tc>
          <w:tcPr>
            <w:tcW w:type="dxa" w:w="1872"/>
          </w:tcPr>
          <w:p>
            <w:pPr>
              <w:jc w:val="center"/>
            </w:pPr>
            <w:r>
              <w:t>2025-10-07</w:t>
            </w:r>
          </w:p>
        </w:tc>
        <w:tc>
          <w:tcPr>
            <w:tcW w:type="dxa" w:w="1872"/>
          </w:tcPr>
          <w:p>
            <w:pPr>
              <w:jc w:val="center"/>
            </w:pPr>
            <w:r>
              <w:t>Grocery Store</w:t>
            </w:r>
          </w:p>
        </w:tc>
        <w:tc>
          <w:tcPr>
            <w:tcW w:type="dxa" w:w="1872"/>
          </w:tcPr>
          <w:p>
            <w:pPr>
              <w:jc w:val="center"/>
            </w:pPr>
            <w:r>
              <w:t>Debit</w:t>
            </w:r>
          </w:p>
        </w:tc>
        <w:tc>
          <w:tcPr>
            <w:tcW w:type="dxa" w:w="1872"/>
          </w:tcPr>
          <w:p>
            <w:pPr>
              <w:jc w:val="center"/>
            </w:pPr>
            <w:r>
              <w:t>3,950</w:t>
            </w:r>
          </w:p>
        </w:tc>
        <w:tc>
          <w:tcPr>
            <w:tcW w:type="dxa" w:w="1872"/>
          </w:tcPr>
          <w:p>
            <w:pPr>
              <w:jc w:val="center"/>
            </w:pPr>
            <w:r>
              <w:t>4,76,480</w:t>
            </w:r>
          </w:p>
        </w:tc>
      </w:tr>
      <w:tr>
        <w:tc>
          <w:tcPr>
            <w:tcW w:type="dxa" w:w="1872"/>
          </w:tcPr>
          <w:p>
            <w:pPr>
              <w:jc w:val="center"/>
            </w:pPr>
            <w:r>
              <w:t>2025-10-10</w:t>
            </w:r>
          </w:p>
        </w:tc>
        <w:tc>
          <w:tcPr>
            <w:tcW w:type="dxa" w:w="1872"/>
          </w:tcPr>
          <w:p>
            <w:pPr>
              <w:jc w:val="center"/>
            </w:pPr>
            <w:r>
              <w:t>Refund: E-comm</w:t>
            </w:r>
          </w:p>
        </w:tc>
        <w:tc>
          <w:tcPr>
            <w:tcW w:type="dxa" w:w="1872"/>
          </w:tcPr>
          <w:p>
            <w:pPr>
              <w:jc w:val="center"/>
            </w:pPr>
            <w:r>
              <w:t>Credit</w:t>
            </w:r>
          </w:p>
        </w:tc>
        <w:tc>
          <w:tcPr>
            <w:tcW w:type="dxa" w:w="1872"/>
          </w:tcPr>
          <w:p>
            <w:pPr>
              <w:jc w:val="center"/>
            </w:pPr>
            <w:r>
              <w:t>2,100</w:t>
            </w:r>
          </w:p>
        </w:tc>
        <w:tc>
          <w:tcPr>
            <w:tcW w:type="dxa" w:w="1872"/>
          </w:tcPr>
          <w:p>
            <w:pPr>
              <w:jc w:val="center"/>
            </w:pPr>
            <w:r>
              <w:t>4,78,580</w:t>
            </w:r>
          </w:p>
        </w:tc>
      </w:tr>
      <w:tr>
        <w:tc>
          <w:tcPr>
            <w:tcW w:type="dxa" w:w="1872"/>
          </w:tcPr>
          <w:p>
            <w:pPr>
              <w:jc w:val="center"/>
            </w:pPr>
            <w:r>
              <w:t>2025-10-12</w:t>
            </w:r>
          </w:p>
        </w:tc>
        <w:tc>
          <w:tcPr>
            <w:tcW w:type="dxa" w:w="1872"/>
          </w:tcPr>
          <w:p>
            <w:pPr>
              <w:jc w:val="center"/>
            </w:pPr>
            <w:r>
              <w:t>Electricity Bill</w:t>
            </w:r>
          </w:p>
        </w:tc>
        <w:tc>
          <w:tcPr>
            <w:tcW w:type="dxa" w:w="1872"/>
          </w:tcPr>
          <w:p>
            <w:pPr>
              <w:jc w:val="center"/>
            </w:pPr>
            <w:r>
              <w:t>Debit</w:t>
            </w:r>
          </w:p>
        </w:tc>
        <w:tc>
          <w:tcPr>
            <w:tcW w:type="dxa" w:w="1872"/>
          </w:tcPr>
          <w:p>
            <w:pPr>
              <w:jc w:val="center"/>
            </w:pPr>
            <w:r>
              <w:t>2,300</w:t>
            </w:r>
          </w:p>
        </w:tc>
        <w:tc>
          <w:tcPr>
            <w:tcW w:type="dxa" w:w="1872"/>
          </w:tcPr>
          <w:p>
            <w:pPr>
              <w:jc w:val="center"/>
            </w:pPr>
            <w:r>
              <w:t>4,76,280</w:t>
            </w:r>
          </w:p>
        </w:tc>
      </w:tr>
    </w:tbl>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Installment No</w:t>
            </w:r>
          </w:p>
        </w:tc>
        <w:tc>
          <w:tcPr>
            <w:tcW w:type="dxa" w:w="1560"/>
          </w:tcPr>
          <w:p>
            <w:r>
              <w:rPr>
                <w:b/>
              </w:rPr>
              <w:t>Date</w:t>
            </w:r>
          </w:p>
        </w:tc>
        <w:tc>
          <w:tcPr>
            <w:tcW w:type="dxa" w:w="1560"/>
          </w:tcPr>
          <w:p>
            <w:r>
              <w:rPr>
                <w:b/>
              </w:rPr>
              <w:t>Principal Component</w:t>
            </w:r>
          </w:p>
        </w:tc>
        <w:tc>
          <w:tcPr>
            <w:tcW w:type="dxa" w:w="1560"/>
          </w:tcPr>
          <w:p>
            <w:r>
              <w:rPr>
                <w:b/>
              </w:rPr>
              <w:t>Interest Component</w:t>
            </w:r>
          </w:p>
        </w:tc>
        <w:tc>
          <w:tcPr>
            <w:tcW w:type="dxa" w:w="1560"/>
          </w:tcPr>
          <w:p>
            <w:r>
              <w:rPr>
                <w:b/>
              </w:rPr>
              <w:t>Total Payment</w:t>
            </w:r>
          </w:p>
        </w:tc>
        <w:tc>
          <w:tcPr>
            <w:tcW w:type="dxa" w:w="1560"/>
          </w:tcPr>
          <w:p>
            <w:r>
              <w:rPr>
                <w:b/>
              </w:rPr>
              <w:t>Remaining Balance</w:t>
            </w:r>
          </w:p>
        </w:tc>
      </w:tr>
      <w:tr>
        <w:tc>
          <w:tcPr>
            <w:tcW w:type="dxa" w:w="1560"/>
          </w:tcPr>
          <w:p>
            <w:pPr>
              <w:jc w:val="center"/>
            </w:pPr>
            <w:r>
              <w:t>1</w:t>
            </w:r>
          </w:p>
        </w:tc>
        <w:tc>
          <w:tcPr>
            <w:tcW w:type="dxa" w:w="1560"/>
          </w:tcPr>
          <w:p>
            <w:pPr>
              <w:jc w:val="center"/>
            </w:pPr>
            <w:r>
              <w:t>2025-11-01</w:t>
            </w:r>
          </w:p>
        </w:tc>
        <w:tc>
          <w:tcPr>
            <w:tcW w:type="dxa" w:w="1560"/>
          </w:tcPr>
          <w:p>
            <w:pPr>
              <w:jc w:val="center"/>
            </w:pPr>
            <w:r>
              <w:t>20,000</w:t>
            </w:r>
          </w:p>
        </w:tc>
        <w:tc>
          <w:tcPr>
            <w:tcW w:type="dxa" w:w="1560"/>
          </w:tcPr>
          <w:p>
            <w:pPr>
              <w:jc w:val="center"/>
            </w:pPr>
            <w:r>
              <w:t>10,000</w:t>
            </w:r>
          </w:p>
        </w:tc>
        <w:tc>
          <w:tcPr>
            <w:tcW w:type="dxa" w:w="1560"/>
          </w:tcPr>
          <w:p>
            <w:pPr>
              <w:jc w:val="center"/>
            </w:pPr>
            <w:r>
              <w:t>30,000</w:t>
            </w:r>
          </w:p>
        </w:tc>
        <w:tc>
          <w:tcPr>
            <w:tcW w:type="dxa" w:w="1560"/>
          </w:tcPr>
          <w:p>
            <w:r>
              <w:t>7,80,000</w:t>
            </w:r>
          </w:p>
        </w:tc>
      </w:tr>
      <w:tr>
        <w:tc>
          <w:tcPr>
            <w:tcW w:type="dxa" w:w="1560"/>
          </w:tcPr>
          <w:p>
            <w:pPr>
              <w:jc w:val="center"/>
            </w:pPr>
            <w:r>
              <w:t>2</w:t>
            </w:r>
          </w:p>
        </w:tc>
        <w:tc>
          <w:tcPr>
            <w:tcW w:type="dxa" w:w="1560"/>
          </w:tcPr>
          <w:p>
            <w:pPr>
              <w:jc w:val="center"/>
            </w:pPr>
            <w:r>
              <w:t>2025-12-01</w:t>
            </w:r>
          </w:p>
        </w:tc>
        <w:tc>
          <w:tcPr>
            <w:tcW w:type="dxa" w:w="1560"/>
          </w:tcPr>
          <w:p>
            <w:pPr>
              <w:jc w:val="center"/>
            </w:pPr>
            <w:r>
              <w:t>20,000</w:t>
            </w:r>
          </w:p>
        </w:tc>
        <w:tc>
          <w:tcPr>
            <w:tcW w:type="dxa" w:w="1560"/>
          </w:tcPr>
          <w:p>
            <w:pPr>
              <w:jc w:val="center"/>
            </w:pPr>
            <w:r>
              <w:t>9,800</w:t>
            </w:r>
          </w:p>
        </w:tc>
        <w:tc>
          <w:tcPr>
            <w:tcW w:type="dxa" w:w="1560"/>
          </w:tcPr>
          <w:p>
            <w:pPr>
              <w:jc w:val="center"/>
            </w:pPr>
            <w:r>
              <w:t>29,800</w:t>
            </w:r>
          </w:p>
        </w:tc>
        <w:tc>
          <w:tcPr>
            <w:tcW w:type="dxa" w:w="1560"/>
          </w:tcPr>
          <w:p>
            <w:r>
              <w:t>7,60,000</w:t>
            </w:r>
          </w:p>
        </w:tc>
      </w:tr>
      <w:tr>
        <w:tc>
          <w:tcPr>
            <w:tcW w:type="dxa" w:w="1560"/>
          </w:tcPr>
          <w:p>
            <w:pPr>
              <w:jc w:val="center"/>
            </w:pPr>
            <w:r>
              <w:t>3</w:t>
            </w:r>
          </w:p>
        </w:tc>
        <w:tc>
          <w:tcPr>
            <w:tcW w:type="dxa" w:w="1560"/>
          </w:tcPr>
          <w:p>
            <w:pPr>
              <w:jc w:val="center"/>
            </w:pPr>
            <w:r>
              <w:t>2026-01-01</w:t>
            </w:r>
          </w:p>
        </w:tc>
        <w:tc>
          <w:tcPr>
            <w:tcW w:type="dxa" w:w="1560"/>
          </w:tcPr>
          <w:p>
            <w:pPr>
              <w:jc w:val="center"/>
            </w:pPr>
            <w:r>
              <w:t>20,000</w:t>
            </w:r>
          </w:p>
        </w:tc>
        <w:tc>
          <w:tcPr>
            <w:tcW w:type="dxa" w:w="1560"/>
          </w:tcPr>
          <w:p>
            <w:pPr>
              <w:jc w:val="center"/>
            </w:pPr>
            <w:r>
              <w:t>9,600</w:t>
            </w:r>
          </w:p>
        </w:tc>
        <w:tc>
          <w:tcPr>
            <w:tcW w:type="dxa" w:w="1560"/>
          </w:tcPr>
          <w:p>
            <w:pPr>
              <w:jc w:val="center"/>
            </w:pPr>
            <w:r>
              <w:t>29,600</w:t>
            </w:r>
          </w:p>
        </w:tc>
        <w:tc>
          <w:tcPr>
            <w:tcW w:type="dxa" w:w="1560"/>
          </w:tcPr>
          <w:p>
            <w:r>
              <w:t>7,40,000</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Rohan Kanhai</dc:creator>
  <keywords/>
  <dc:description>generated by python-docx</dc:description>
  <lastModifiedBy>Rohan Kanhai</lastModifiedBy>
  <revision>1</revision>
  <dcterms:created xsi:type="dcterms:W3CDTF">2026-05-04T05:41:20.0392562Z</dcterms:created>
  <dcterms:modified xsi:type="dcterms:W3CDTF">2026-05-04T05:41:20.0392562Z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c544ca-bb84-4280-906e-934547e1d30c_Enabled">
    <vt:lpwstr>true</vt:lpwstr>
  </property>
  <property fmtid="{D5CDD505-2E9C-101B-9397-08002B2CF9AE}" pid="3" name="MSIP_Label_a8c544ca-bb84-4280-906e-934547e1d30c_SetDate">
    <vt:lpwstr>2026-05-04T05:41:20Z</vt:lpwstr>
  </property>
  <property fmtid="{D5CDD505-2E9C-101B-9397-08002B2CF9AE}" pid="4" name="MSIP_Label_a8c544ca-bb84-4280-906e-934547e1d30c_Method">
    <vt:lpwstr>Standard</vt:lpwstr>
  </property>
  <property fmtid="{D5CDD505-2E9C-101B-9397-08002B2CF9AE}" pid="5" name="MSIP_Label_a8c544ca-bb84-4280-906e-934547e1d30c_Name">
    <vt:lpwstr>Internal - General Use</vt:lpwstr>
  </property>
  <property fmtid="{D5CDD505-2E9C-101B-9397-08002B2CF9AE}" pid="6" name="MSIP_Label_a8c544ca-bb84-4280-906e-934547e1d30c_SiteId">
    <vt:lpwstr>258ac4e4-146a-411e-9dc8-79a9e12fd6da</vt:lpwstr>
  </property>
  <property fmtid="{D5CDD505-2E9C-101B-9397-08002B2CF9AE}" pid="7" name="MSIP_Label_a8c544ca-bb84-4280-906e-934547e1d30c_ActionId">
    <vt:lpwstr>36a93620-5f6c-4f3c-94ea-3741a87cf09d</vt:lpwstr>
  </property>
  <property fmtid="{D5CDD505-2E9C-101B-9397-08002B2CF9AE}" pid="8" name="MSIP_Label_a8c544ca-bb84-4280-906e-934547e1d30c_ContentBits">
    <vt:lpwstr>0</vt:lpwstr>
  </property>
</Properties>
</file>